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CA2F0" w14:textId="2690ABEF" w:rsidR="00A40A8E" w:rsidRDefault="00AA6325">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11</w:t>
      </w:r>
      <w:r>
        <w:rPr>
          <w:rFonts w:ascii="Arial" w:hAnsi="Arial" w:cs="Arial"/>
          <w:sz w:val="22"/>
        </w:rPr>
        <w:tab/>
        <w:t xml:space="preserve"> </w:t>
      </w:r>
      <w:r>
        <w:rPr>
          <w:rFonts w:ascii="Arial" w:hAnsi="Arial" w:cs="Arial"/>
          <w:sz w:val="22"/>
        </w:rPr>
        <w:tab/>
        <w:t xml:space="preserve">                                      </w:t>
      </w:r>
      <w:r>
        <w:rPr>
          <w:rFonts w:ascii="Arial" w:hAnsi="Arial" w:cs="Arial"/>
          <w:sz w:val="22"/>
        </w:rPr>
        <w:tab/>
        <w:t xml:space="preserve"> </w:t>
      </w:r>
      <w:r>
        <w:rPr>
          <w:rFonts w:ascii="Arial" w:hAnsi="Arial" w:cs="Arial" w:hint="eastAsia"/>
          <w:sz w:val="22"/>
        </w:rPr>
        <w:t xml:space="preserve">    </w:t>
      </w:r>
      <w:r>
        <w:rPr>
          <w:rFonts w:ascii="Arial" w:hAnsi="Arial" w:cs="Arial"/>
          <w:sz w:val="22"/>
        </w:rPr>
        <w:t>R1-22</w:t>
      </w:r>
      <w:r>
        <w:rPr>
          <w:rFonts w:ascii="Arial" w:hAnsi="Arial" w:cs="Arial" w:hint="eastAsia"/>
          <w:sz w:val="22"/>
        </w:rPr>
        <w:t>1</w:t>
      </w:r>
      <w:r>
        <w:rPr>
          <w:rFonts w:ascii="Arial" w:hAnsi="Arial" w:cs="Arial"/>
          <w:sz w:val="22"/>
        </w:rPr>
        <w:t>1111</w:t>
      </w:r>
    </w:p>
    <w:p w14:paraId="45C3A4BC" w14:textId="77777777" w:rsidR="00A40A8E" w:rsidRDefault="00AA6325">
      <w:pPr>
        <w:pStyle w:val="3GPPHeader"/>
        <w:tabs>
          <w:tab w:val="clear" w:pos="1800"/>
          <w:tab w:val="left" w:pos="1580"/>
        </w:tabs>
        <w:snapToGrid w:val="0"/>
        <w:rPr>
          <w:rFonts w:cs="Arial"/>
          <w:bCs/>
          <w:sz w:val="22"/>
        </w:rPr>
      </w:pPr>
      <w:r>
        <w:rPr>
          <w:rFonts w:cs="Arial"/>
          <w:bCs/>
          <w:sz w:val="22"/>
        </w:rPr>
        <w:t xml:space="preserve">Toulouse, France, </w:t>
      </w:r>
      <w:r>
        <w:rPr>
          <w:rFonts w:cs="Arial" w:hint="eastAsia"/>
          <w:bCs/>
          <w:sz w:val="22"/>
        </w:rPr>
        <w:t>November 14</w:t>
      </w:r>
      <w:r>
        <w:rPr>
          <w:rFonts w:cs="Arial"/>
          <w:bCs/>
          <w:sz w:val="22"/>
          <w:vertAlign w:val="superscript"/>
        </w:rPr>
        <w:t xml:space="preserve">th </w:t>
      </w:r>
      <w:r>
        <w:rPr>
          <w:rFonts w:cs="Arial"/>
          <w:bCs/>
          <w:sz w:val="22"/>
        </w:rPr>
        <w:t xml:space="preserve">– </w:t>
      </w:r>
      <w:r>
        <w:rPr>
          <w:rFonts w:cs="Arial" w:hint="eastAsia"/>
          <w:bCs/>
          <w:sz w:val="22"/>
        </w:rPr>
        <w:t>18</w:t>
      </w:r>
      <w:r>
        <w:rPr>
          <w:rFonts w:cs="Arial"/>
          <w:bCs/>
          <w:sz w:val="22"/>
          <w:vertAlign w:val="superscript"/>
        </w:rPr>
        <w:t>th</w:t>
      </w:r>
      <w:r>
        <w:rPr>
          <w:rFonts w:cs="Arial"/>
          <w:bCs/>
          <w:sz w:val="22"/>
        </w:rPr>
        <w:t>, 2022</w:t>
      </w:r>
    </w:p>
    <w:p w14:paraId="7D938813" w14:textId="77777777" w:rsidR="00A40A8E" w:rsidRDefault="00A40A8E">
      <w:pPr>
        <w:pStyle w:val="3GPPHeader"/>
        <w:snapToGrid w:val="0"/>
        <w:rPr>
          <w:rFonts w:cs="Arial"/>
          <w:sz w:val="22"/>
        </w:rPr>
      </w:pPr>
    </w:p>
    <w:p w14:paraId="1FD8418E" w14:textId="77777777" w:rsidR="00A40A8E" w:rsidRDefault="00AA6325">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4657B9C8" w14:textId="77777777" w:rsidR="00A40A8E" w:rsidRDefault="00AA6325">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disabling of HARQ feedback for IoT-NTN</w:t>
      </w:r>
    </w:p>
    <w:p w14:paraId="2E7EF54A" w14:textId="77777777" w:rsidR="00A40A8E" w:rsidRDefault="00AA6325">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11.3</w:t>
      </w:r>
    </w:p>
    <w:p w14:paraId="5794E43C" w14:textId="77777777" w:rsidR="00A40A8E" w:rsidRDefault="00AA6325">
      <w:pPr>
        <w:pBdr>
          <w:bottom w:val="single" w:sz="6" w:space="1" w:color="auto"/>
        </w:pBdr>
        <w:snapToGrid w:val="0"/>
        <w:jc w:val="both"/>
        <w:rPr>
          <w:rFonts w:ascii="Arial" w:hAnsi="Arial"/>
          <w:b/>
        </w:rPr>
      </w:pPr>
      <w:r>
        <w:rPr>
          <w:rFonts w:ascii="Arial" w:hAnsi="Arial"/>
          <w:b/>
        </w:rPr>
        <w:t>Document for: Discussion</w:t>
      </w:r>
      <w:bookmarkEnd w:id="0"/>
      <w:bookmarkEnd w:id="1"/>
    </w:p>
    <w:p w14:paraId="0604AF29" w14:textId="77777777" w:rsidR="00A40A8E" w:rsidRDefault="00AA632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7CC077CE"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Based on the agreement in </w:t>
      </w:r>
      <w:r>
        <w:rPr>
          <w:rFonts w:ascii="Times New Roman" w:eastAsia="宋体" w:hAnsi="Times New Roman" w:cs="Times New Roman" w:hint="eastAsia"/>
          <w:sz w:val="20"/>
          <w:szCs w:val="20"/>
        </w:rPr>
        <w:t>previous</w:t>
      </w:r>
      <w:r>
        <w:rPr>
          <w:rFonts w:ascii="Times New Roman" w:eastAsia="宋体" w:hAnsi="Times New Roman" w:cs="Times New Roman"/>
          <w:sz w:val="20"/>
          <w:szCs w:val="20"/>
        </w:rPr>
        <w:t xml:space="preserve"> meeting, in this contribution, the solutions to </w:t>
      </w:r>
      <w:r>
        <w:rPr>
          <w:rFonts w:ascii="Times New Roman" w:eastAsia="宋体" w:hAnsi="Times New Roman" w:cs="Times New Roman" w:hint="eastAsia"/>
          <w:sz w:val="20"/>
          <w:szCs w:val="20"/>
        </w:rPr>
        <w:t>configure the HARQ feedback enabling/disabling</w:t>
      </w:r>
      <w:r>
        <w:rPr>
          <w:rFonts w:ascii="Times New Roman" w:eastAsia="宋体" w:hAnsi="Times New Roman" w:cs="Times New Roman"/>
          <w:sz w:val="20"/>
          <w:szCs w:val="20"/>
        </w:rPr>
        <w:t xml:space="preserve"> and potential issues are further elaborated with corresponding analysis. </w:t>
      </w:r>
    </w:p>
    <w:p w14:paraId="7EC117B6" w14:textId="77777777" w:rsidR="00A40A8E" w:rsidRDefault="00AA632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Configuration of HARQ feedback disabling</w:t>
      </w:r>
    </w:p>
    <w:p w14:paraId="50B7A750" w14:textId="62785D69"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To mitigate the impact of HARQ sta</w:t>
      </w:r>
      <w:r>
        <w:rPr>
          <w:rFonts w:ascii="Times New Roman" w:eastAsia="宋体" w:hAnsi="Times New Roman" w:cs="Times New Roman" w:hint="eastAsia"/>
          <w:sz w:val="20"/>
          <w:szCs w:val="20"/>
        </w:rPr>
        <w:t>l</w:t>
      </w:r>
      <w:r>
        <w:rPr>
          <w:rFonts w:ascii="Times New Roman" w:eastAsia="宋体" w:hAnsi="Times New Roman" w:cs="Times New Roman"/>
          <w:sz w:val="20"/>
          <w:szCs w:val="20"/>
        </w:rPr>
        <w:t xml:space="preserve">ling with potential improvement on the </w:t>
      </w:r>
      <w:r>
        <w:rPr>
          <w:rFonts w:ascii="Times New Roman" w:eastAsia="宋体" w:hAnsi="Times New Roman" w:cs="Times New Roman" w:hint="eastAsia"/>
          <w:sz w:val="20"/>
          <w:szCs w:val="20"/>
        </w:rPr>
        <w:t xml:space="preserve">data </w:t>
      </w:r>
      <w:r>
        <w:rPr>
          <w:rFonts w:ascii="Times New Roman" w:eastAsia="宋体" w:hAnsi="Times New Roman" w:cs="Times New Roman"/>
          <w:sz w:val="20"/>
          <w:szCs w:val="20"/>
        </w:rPr>
        <w:t xml:space="preserve">rate for IoT case to enable more service, as shown in the endorsed WI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eastAsia="宋体" w:hAnsi="Times New Roman" w:cs="Times New Roman"/>
          <w:sz w:val="20"/>
          <w:szCs w:val="20"/>
        </w:rPr>
        <w:t xml:space="preserve">, the </w:t>
      </w:r>
      <w:r>
        <w:rPr>
          <w:rFonts w:ascii="Times New Roman" w:eastAsia="宋体" w:hAnsi="Times New Roman" w:cs="Times New Roman" w:hint="eastAsia"/>
          <w:sz w:val="20"/>
          <w:szCs w:val="20"/>
        </w:rPr>
        <w:t>following</w:t>
      </w:r>
      <w:r>
        <w:rPr>
          <w:rFonts w:ascii="Times New Roman" w:eastAsia="宋体" w:hAnsi="Times New Roman" w:cs="Times New Roman"/>
          <w:sz w:val="20"/>
          <w:szCs w:val="20"/>
        </w:rPr>
        <w:t xml:space="preserve"> solutions </w:t>
      </w:r>
      <w:r>
        <w:rPr>
          <w:rFonts w:ascii="Times New Roman" w:eastAsia="宋体" w:hAnsi="Times New Roman" w:cs="Times New Roman" w:hint="eastAsia"/>
          <w:sz w:val="20"/>
          <w:szCs w:val="20"/>
        </w:rPr>
        <w:t>to configure the HARQ feedback enabling/disabling</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were agreed for further consideration in the RAN1#110bis-e meeting</w:t>
      </w:r>
      <w:r w:rsidR="00D565CE">
        <w:rPr>
          <w:rFonts w:ascii="Times New Roman" w:eastAsia="宋体" w:hAnsi="Times New Roman" w:cs="Times New Roman"/>
          <w:sz w:val="20"/>
          <w:szCs w:val="20"/>
        </w:rPr>
        <w:t xml:space="preserve"> </w:t>
      </w:r>
      <w:r w:rsidR="00D565CE">
        <w:rPr>
          <w:rFonts w:ascii="Times New Roman" w:eastAsia="宋体" w:hAnsi="Times New Roman" w:cs="Times New Roman"/>
          <w:sz w:val="20"/>
          <w:szCs w:val="20"/>
        </w:rPr>
        <w:fldChar w:fldCharType="begin"/>
      </w:r>
      <w:r w:rsidR="00D565CE">
        <w:rPr>
          <w:rFonts w:ascii="Times New Roman" w:eastAsia="宋体" w:hAnsi="Times New Roman" w:cs="Times New Roman"/>
          <w:sz w:val="20"/>
          <w:szCs w:val="20"/>
        </w:rPr>
        <w:instrText xml:space="preserve"> REF _Ref118468455 \n \h </w:instrText>
      </w:r>
      <w:r w:rsidR="00D565CE">
        <w:rPr>
          <w:rFonts w:ascii="Times New Roman" w:eastAsia="宋体" w:hAnsi="Times New Roman" w:cs="Times New Roman"/>
          <w:sz w:val="20"/>
          <w:szCs w:val="20"/>
        </w:rPr>
      </w:r>
      <w:r w:rsidR="00D565CE">
        <w:rPr>
          <w:rFonts w:ascii="Times New Roman" w:eastAsia="宋体" w:hAnsi="Times New Roman" w:cs="Times New Roman"/>
          <w:sz w:val="20"/>
          <w:szCs w:val="20"/>
        </w:rPr>
        <w:fldChar w:fldCharType="separate"/>
      </w:r>
      <w:r w:rsidR="00D565CE">
        <w:rPr>
          <w:rFonts w:ascii="Times New Roman" w:eastAsia="宋体" w:hAnsi="Times New Roman" w:cs="Times New Roman"/>
          <w:sz w:val="20"/>
          <w:szCs w:val="20"/>
        </w:rPr>
        <w:t>[2]</w:t>
      </w:r>
      <w:r w:rsidR="00D565CE">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w:t>
      </w:r>
    </w:p>
    <w:tbl>
      <w:tblPr>
        <w:tblStyle w:val="ac"/>
        <w:tblW w:w="0" w:type="auto"/>
        <w:tblInd w:w="553" w:type="dxa"/>
        <w:tblLook w:val="04A0" w:firstRow="1" w:lastRow="0" w:firstColumn="1" w:lastColumn="0" w:noHBand="0" w:noVBand="1"/>
      </w:tblPr>
      <w:tblGrid>
        <w:gridCol w:w="8797"/>
      </w:tblGrid>
      <w:tr w:rsidR="00A40A8E" w14:paraId="102645CE" w14:textId="77777777">
        <w:tc>
          <w:tcPr>
            <w:tcW w:w="9023" w:type="dxa"/>
          </w:tcPr>
          <w:p w14:paraId="309A8E31" w14:textId="77777777" w:rsidR="00A40A8E" w:rsidRDefault="00AA6325">
            <w:pPr>
              <w:numPr>
                <w:ilvl w:val="7"/>
                <w:numId w:val="0"/>
              </w:numPr>
              <w:spacing w:beforeLines="50" w:before="120" w:afterLines="50" w:after="120" w:line="240" w:lineRule="auto"/>
              <w:rPr>
                <w:rFonts w:ascii="Times New Roman" w:eastAsia="宋体" w:hAnsi="Times New Roman" w:cs="Times New Roman"/>
                <w:b/>
                <w:bCs/>
                <w:sz w:val="20"/>
                <w:szCs w:val="20"/>
                <w:highlight w:val="green"/>
              </w:rPr>
            </w:pPr>
            <w:r>
              <w:rPr>
                <w:rFonts w:ascii="Times New Roman" w:eastAsia="宋体" w:hAnsi="Times New Roman" w:cs="Times New Roman"/>
                <w:b/>
                <w:bCs/>
                <w:sz w:val="20"/>
                <w:szCs w:val="20"/>
                <w:highlight w:val="green"/>
              </w:rPr>
              <w:t>Agreement</w:t>
            </w:r>
          </w:p>
          <w:p w14:paraId="344DB762" w14:textId="77777777" w:rsidR="00A40A8E" w:rsidRDefault="00AA6325">
            <w:pPr>
              <w:numPr>
                <w:ilvl w:val="7"/>
                <w:numId w:val="0"/>
              </w:numPr>
              <w:spacing w:beforeLines="50" w:before="120" w:afterLines="50" w:after="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For NB-IoT NTN, to configure/indicate enabling/disabling of HARQ feedback for downlink transmission, down select one of from the following options at RAN1 #111:</w:t>
            </w:r>
          </w:p>
          <w:p w14:paraId="2480EC51" w14:textId="77777777" w:rsidR="00A40A8E" w:rsidRDefault="00AA6325">
            <w:pPr>
              <w:numPr>
                <w:ilvl w:val="0"/>
                <w:numId w:val="5"/>
              </w:numPr>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Option 6a-1: Support RRC signaling configured between Option 1 and Option 3</w:t>
            </w:r>
          </w:p>
          <w:p w14:paraId="00F69E5F" w14:textId="77777777" w:rsidR="00A40A8E" w:rsidRDefault="00AA6325">
            <w:pPr>
              <w:numPr>
                <w:ilvl w:val="0"/>
                <w:numId w:val="5"/>
              </w:numPr>
              <w:spacing w:after="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Option 6a-4: Support Option 1 by default, and support Option 3 to override default configuration for corresponding transmission</w:t>
            </w:r>
          </w:p>
        </w:tc>
      </w:tr>
    </w:tbl>
    <w:p w14:paraId="2750B885" w14:textId="34AF51F5"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Rel-17 NR-NTN</w:t>
      </w:r>
      <w:r w:rsidR="00D565CE">
        <w:rPr>
          <w:rFonts w:ascii="Times New Roman" w:eastAsia="宋体" w:hAnsi="Times New Roman" w:cs="Times New Roman"/>
          <w:sz w:val="20"/>
          <w:szCs w:val="20"/>
        </w:rPr>
        <w:t xml:space="preserve"> </w:t>
      </w:r>
      <w:r w:rsidR="00D565CE">
        <w:rPr>
          <w:rFonts w:ascii="Times New Roman" w:eastAsia="宋体" w:hAnsi="Times New Roman" w:cs="Times New Roman"/>
          <w:sz w:val="20"/>
          <w:szCs w:val="20"/>
        </w:rPr>
        <w:fldChar w:fldCharType="begin"/>
      </w:r>
      <w:r w:rsidR="00D565CE">
        <w:rPr>
          <w:rFonts w:ascii="Times New Roman" w:eastAsia="宋体" w:hAnsi="Times New Roman" w:cs="Times New Roman"/>
          <w:sz w:val="20"/>
          <w:szCs w:val="20"/>
        </w:rPr>
        <w:instrText xml:space="preserve"> REF _Ref118468446 \n \h </w:instrText>
      </w:r>
      <w:r w:rsidR="00D565CE">
        <w:rPr>
          <w:rFonts w:ascii="Times New Roman" w:eastAsia="宋体" w:hAnsi="Times New Roman" w:cs="Times New Roman"/>
          <w:sz w:val="20"/>
          <w:szCs w:val="20"/>
        </w:rPr>
      </w:r>
      <w:r w:rsidR="00D565CE">
        <w:rPr>
          <w:rFonts w:ascii="Times New Roman" w:eastAsia="宋体" w:hAnsi="Times New Roman" w:cs="Times New Roman"/>
          <w:sz w:val="20"/>
          <w:szCs w:val="20"/>
        </w:rPr>
        <w:fldChar w:fldCharType="separate"/>
      </w:r>
      <w:r w:rsidR="00D565CE">
        <w:rPr>
          <w:rFonts w:ascii="Times New Roman" w:eastAsia="宋体" w:hAnsi="Times New Roman" w:cs="Times New Roman"/>
          <w:sz w:val="20"/>
          <w:szCs w:val="20"/>
        </w:rPr>
        <w:t>[3]</w:t>
      </w:r>
      <w:r w:rsidR="00D565CE">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there is following agreement for disabling on HARQ feedback:</w:t>
      </w:r>
    </w:p>
    <w:p w14:paraId="5EC38CA3" w14:textId="77777777" w:rsidR="00A40A8E" w:rsidRDefault="00AA6325">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14:paraId="0EF721E5" w14:textId="77777777" w:rsidR="00A40A8E" w:rsidRDefault="00AA6325">
      <w:pPr>
        <w:numPr>
          <w:ilvl w:val="7"/>
          <w:numId w:val="0"/>
        </w:numPr>
        <w:spacing w:beforeLines="50" w:before="120" w:afterLines="50" w:after="120" w:line="240" w:lineRule="auto"/>
        <w:ind w:leftChars="200" w:left="440"/>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Enabling/disabling on HARQ feedback for downlink transmission should be at least configurable per HARQ process via UE specific RRC signaling</w:t>
      </w:r>
    </w:p>
    <w:p w14:paraId="39DC13BA"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Based on above agreement, it can be observed that enabling/disabling on HARQ feedback is configurable per HARQ process via UE specific RRC signaling in NR-NTN. Furthermore, the channel condition in IoT-NTN is more stable than NR-NTN since most of UEs are stationary. Introducing new dynamic configuration method for HARQ feedback disabling is not needed, i.e., extra blind detection complexity and spec efforts, </w:t>
      </w:r>
      <w:r>
        <w:rPr>
          <w:rFonts w:ascii="Times New Roman" w:eastAsia="宋体" w:hAnsi="Times New Roman" w:cs="Times New Roman"/>
          <w:sz w:val="20"/>
          <w:szCs w:val="20"/>
        </w:rPr>
        <w:t>etc</w:t>
      </w:r>
      <w:r>
        <w:rPr>
          <w:rFonts w:ascii="Times New Roman" w:eastAsia="宋体" w:hAnsi="Times New Roman" w:cs="Times New Roman" w:hint="eastAsia"/>
          <w:sz w:val="20"/>
          <w:szCs w:val="20"/>
        </w:rPr>
        <w:t xml:space="preserve">. Therefore, directly reusing the NR-NTN method at least for multiple HARQ process for NB-IoT will further facilitate/ease the discussion and standard effort, i.e., option 1, is preferred. </w:t>
      </w:r>
    </w:p>
    <w:p w14:paraId="4AED8FA0"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However, </w:t>
      </w:r>
      <w:r>
        <w:rPr>
          <w:rFonts w:ascii="Times New Roman" w:eastAsia="宋体" w:hAnsi="Times New Roman" w:cs="Times New Roman"/>
          <w:sz w:val="20"/>
          <w:szCs w:val="20"/>
        </w:rPr>
        <w:t xml:space="preserve">considering the application for </w:t>
      </w:r>
      <w:r>
        <w:rPr>
          <w:rFonts w:ascii="Times New Roman" w:eastAsia="宋体" w:hAnsi="Times New Roman" w:cs="Times New Roman" w:hint="eastAsia"/>
          <w:sz w:val="20"/>
          <w:szCs w:val="20"/>
        </w:rPr>
        <w:t xml:space="preserve">some specific cases, such as the case of single HARQ process for NB-IoT, </w:t>
      </w:r>
      <w:r>
        <w:rPr>
          <w:rFonts w:ascii="Times New Roman" w:eastAsia="宋体" w:hAnsi="Times New Roman" w:cs="Times New Roman"/>
          <w:sz w:val="20"/>
          <w:szCs w:val="20"/>
        </w:rPr>
        <w:t xml:space="preserve">due to the limited HARQ process number, the RRC-based mechanism may be lack of flexible. Then, </w:t>
      </w:r>
      <w:r>
        <w:rPr>
          <w:rFonts w:ascii="Times New Roman" w:eastAsia="宋体" w:hAnsi="Times New Roman" w:cs="Times New Roman" w:hint="eastAsia"/>
          <w:sz w:val="20"/>
          <w:szCs w:val="20"/>
        </w:rPr>
        <w:t xml:space="preserve">Option 3 </w:t>
      </w:r>
      <w:r>
        <w:rPr>
          <w:rFonts w:ascii="Times New Roman" w:eastAsia="宋体" w:hAnsi="Times New Roman" w:cs="Times New Roman"/>
          <w:sz w:val="20"/>
          <w:szCs w:val="20"/>
        </w:rPr>
        <w:t>can introduce additional benefits to update the HARQ-ACK state for certain HARQ process.</w:t>
      </w:r>
      <w:r>
        <w:rPr>
          <w:rFonts w:ascii="Times New Roman" w:eastAsia="宋体" w:hAnsi="Times New Roman" w:cs="Times New Roman" w:hint="eastAsia"/>
          <w:sz w:val="20"/>
          <w:szCs w:val="20"/>
        </w:rPr>
        <w:t xml:space="preserve"> </w:t>
      </w:r>
    </w:p>
    <w:p w14:paraId="16ABCACA"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Regarding the two options on how to combine Option-1 and Option-3 in the agreement mentioned above, </w:t>
      </w:r>
      <w:r>
        <w:rPr>
          <w:rFonts w:ascii="Times New Roman" w:eastAsia="宋体" w:hAnsi="Times New Roman" w:cs="Times New Roman" w:hint="eastAsia"/>
          <w:sz w:val="20"/>
          <w:szCs w:val="20"/>
        </w:rPr>
        <w:t xml:space="preserve">if we adopt option 6a-1, it is obviously unreasonable to </w:t>
      </w:r>
      <w:r>
        <w:rPr>
          <w:rFonts w:ascii="Times New Roman" w:eastAsia="宋体" w:hAnsi="Times New Roman" w:cs="Times New Roman"/>
          <w:sz w:val="20"/>
          <w:szCs w:val="20"/>
        </w:rPr>
        <w:t xml:space="preserve">introduce additional </w:t>
      </w:r>
      <w:r>
        <w:rPr>
          <w:rFonts w:ascii="Times New Roman" w:eastAsia="宋体" w:hAnsi="Times New Roman" w:cs="Times New Roman" w:hint="eastAsia"/>
          <w:sz w:val="20"/>
          <w:szCs w:val="20"/>
        </w:rPr>
        <w:t xml:space="preserve">RRC signaling to </w:t>
      </w:r>
      <w:r>
        <w:rPr>
          <w:rFonts w:ascii="Times New Roman" w:eastAsia="宋体" w:hAnsi="Times New Roman" w:cs="Times New Roman"/>
          <w:sz w:val="20"/>
          <w:szCs w:val="20"/>
        </w:rPr>
        <w:t xml:space="preserve">select one RRC-based methods to </w:t>
      </w:r>
      <w:r>
        <w:rPr>
          <w:rFonts w:ascii="Times New Roman" w:eastAsia="宋体" w:hAnsi="Times New Roman" w:cs="Times New Roman" w:hint="eastAsia"/>
          <w:sz w:val="20"/>
          <w:szCs w:val="20"/>
        </w:rPr>
        <w:t>enabling/disabling of HARQ feedback</w:t>
      </w:r>
      <w:r>
        <w:rPr>
          <w:rFonts w:ascii="Times New Roman" w:eastAsia="宋体" w:hAnsi="Times New Roman" w:cs="Times New Roman"/>
          <w:sz w:val="20"/>
          <w:szCs w:val="20"/>
        </w:rPr>
        <w:t xml:space="preserve"> (i.e., Option-1).</w:t>
      </w:r>
    </w:p>
    <w:p w14:paraId="578F5CCE"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Rel-17 NR-NTN, RRC based configuration on enabling/disabling of HARQ feedback has already been supported in current 3GPP standard. Hence, designing an RRC based configuration method for IoT-NTN should be naturally considered. </w:t>
      </w:r>
      <w:r>
        <w:rPr>
          <w:rFonts w:ascii="Times New Roman" w:eastAsia="宋体" w:hAnsi="Times New Roman" w:cs="Times New Roman"/>
          <w:sz w:val="20"/>
          <w:szCs w:val="20"/>
        </w:rPr>
        <w:t>Then, the</w:t>
      </w:r>
      <w:r>
        <w:rPr>
          <w:rFonts w:ascii="Times New Roman" w:eastAsia="宋体" w:hAnsi="Times New Roman" w:cs="Times New Roman" w:hint="eastAsia"/>
          <w:sz w:val="20"/>
          <w:szCs w:val="20"/>
        </w:rPr>
        <w:t xml:space="preserve"> option 6a-4 </w:t>
      </w:r>
      <w:r>
        <w:rPr>
          <w:rFonts w:ascii="Times New Roman" w:eastAsia="宋体" w:hAnsi="Times New Roman" w:cs="Times New Roman"/>
          <w:sz w:val="20"/>
          <w:szCs w:val="20"/>
        </w:rPr>
        <w:t>will be preferred way to introduce more flexibility</w:t>
      </w:r>
      <w:r>
        <w:rPr>
          <w:rFonts w:ascii="Times New Roman" w:eastAsia="宋体" w:hAnsi="Times New Roman" w:cs="Times New Roman" w:hint="eastAsia"/>
          <w:sz w:val="20"/>
          <w:szCs w:val="20"/>
        </w:rPr>
        <w:t xml:space="preserve">. </w:t>
      </w:r>
    </w:p>
    <w:p w14:paraId="31E8383C" w14:textId="77777777" w:rsidR="00A40A8E" w:rsidRDefault="00AA6325">
      <w:pPr>
        <w:numPr>
          <w:ilvl w:val="3"/>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For NB-IoT NTN, configure/indicate enabling/disabling of HARQ feedback for downlink transmission by supporting Option 1 by default, and support Option 3 to override default configuration for corresponding transmission, as option 6a-4.</w:t>
      </w:r>
    </w:p>
    <w:p w14:paraId="140A072C" w14:textId="13CB125D" w:rsidR="00A40A8E" w:rsidRDefault="00AA6325" w:rsidP="003F5890">
      <w:pPr>
        <w:numPr>
          <w:ilvl w:val="3"/>
          <w:numId w:val="0"/>
        </w:numPr>
        <w:spacing w:beforeLines="50" w:before="120" w:afterLines="50" w:after="120" w:line="240" w:lineRule="auto"/>
        <w:ind w:leftChars="200" w:left="440"/>
        <w:jc w:val="both"/>
        <w:rPr>
          <w:rFonts w:ascii="Times New Roman" w:eastAsia="宋体" w:hAnsi="Times New Roman"/>
          <w:bCs/>
          <w:iCs/>
          <w:sz w:val="20"/>
          <w:szCs w:val="20"/>
        </w:rPr>
      </w:pPr>
      <w:r>
        <w:rPr>
          <w:rFonts w:ascii="Times New Roman" w:eastAsia="宋体" w:hAnsi="Times New Roman" w:cs="Times New Roman" w:hint="eastAsia"/>
          <w:sz w:val="20"/>
          <w:szCs w:val="20"/>
        </w:rPr>
        <w:t xml:space="preserve">For option 6a-4, how to enable DCI based HARQ feedback enabling/disabling configuration should be considered. Based on option 3, </w:t>
      </w:r>
      <w:r w:rsidR="003F5890">
        <w:rPr>
          <w:rFonts w:ascii="Times New Roman" w:eastAsia="宋体" w:hAnsi="Times New Roman"/>
          <w:bCs/>
          <w:iCs/>
          <w:sz w:val="20"/>
          <w:szCs w:val="20"/>
        </w:rPr>
        <w:t>a</w:t>
      </w:r>
      <w:r>
        <w:rPr>
          <w:rFonts w:ascii="Times New Roman" w:eastAsia="宋体" w:hAnsi="Times New Roman" w:hint="eastAsia"/>
          <w:bCs/>
          <w:iCs/>
          <w:sz w:val="20"/>
          <w:szCs w:val="20"/>
        </w:rPr>
        <w:t xml:space="preserve"> bit field of configuration for HARQ feedback enabling/disabling can be newly </w:t>
      </w:r>
      <w:r>
        <w:rPr>
          <w:rFonts w:ascii="Times New Roman" w:eastAsia="宋体" w:hAnsi="Times New Roman" w:hint="eastAsia"/>
          <w:bCs/>
          <w:iCs/>
          <w:sz w:val="20"/>
          <w:szCs w:val="20"/>
        </w:rPr>
        <w:lastRenderedPageBreak/>
        <w:t xml:space="preserve">defined or obtained by re-interpreting existing bit field. For example, one bit field in DCI to indicate whether the HARQ feedback for the transport block scheduled by this DCI is disabled or not. </w:t>
      </w:r>
      <w:r w:rsidR="003F5890">
        <w:rPr>
          <w:rFonts w:ascii="Times New Roman" w:eastAsia="宋体" w:hAnsi="Times New Roman" w:cs="Times New Roman"/>
          <w:sz w:val="20"/>
          <w:szCs w:val="20"/>
        </w:rPr>
        <w:t>Moreover</w:t>
      </w:r>
      <w:r>
        <w:rPr>
          <w:rFonts w:ascii="Times New Roman" w:eastAsia="宋体" w:hAnsi="Times New Roman" w:hint="eastAsia"/>
          <w:bCs/>
          <w:iCs/>
          <w:sz w:val="20"/>
          <w:szCs w:val="20"/>
        </w:rPr>
        <w:t>, i</w:t>
      </w:r>
      <w:r>
        <w:rPr>
          <w:rFonts w:ascii="Times New Roman" w:eastAsia="宋体" w:hAnsi="Times New Roman"/>
          <w:bCs/>
          <w:iCs/>
          <w:sz w:val="20"/>
          <w:szCs w:val="20"/>
        </w:rPr>
        <w:t xml:space="preserve">n order to avoid mis-interpretation of DCI, whether the DCI based HARQ feedback enabling/disabling configuration function is enabled should also be configured. The enabling of this function can be semi-statically configured through a </w:t>
      </w:r>
      <w:r w:rsidR="003F5890">
        <w:rPr>
          <w:rFonts w:ascii="Times New Roman" w:eastAsia="宋体" w:hAnsi="Times New Roman"/>
          <w:bCs/>
          <w:iCs/>
          <w:sz w:val="20"/>
          <w:szCs w:val="20"/>
        </w:rPr>
        <w:t>RRC</w:t>
      </w:r>
      <w:r>
        <w:rPr>
          <w:rFonts w:ascii="Times New Roman" w:eastAsia="宋体" w:hAnsi="Times New Roman"/>
          <w:bCs/>
          <w:iCs/>
          <w:sz w:val="20"/>
          <w:szCs w:val="20"/>
        </w:rPr>
        <w:t xml:space="preserve"> signaling.</w:t>
      </w:r>
    </w:p>
    <w:p w14:paraId="5FC1DFE6" w14:textId="708C33DA"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w:t>
      </w:r>
      <w:r>
        <w:rPr>
          <w:rFonts w:ascii="Times New Roman" w:eastAsia="宋体" w:hAnsi="Times New Roman" w:hint="eastAsia"/>
          <w:bCs/>
          <w:i/>
          <w:sz w:val="20"/>
          <w:szCs w:val="20"/>
        </w:rPr>
        <w:t xml:space="preserve"> O</w:t>
      </w:r>
      <w:r>
        <w:rPr>
          <w:rFonts w:ascii="Times New Roman" w:eastAsia="宋体" w:hAnsi="Times New Roman" w:cs="Times New Roman" w:hint="eastAsia"/>
          <w:i/>
          <w:iCs/>
          <w:sz w:val="20"/>
          <w:szCs w:val="20"/>
        </w:rPr>
        <w:t xml:space="preserve">ne bit field by newly defined or </w:t>
      </w:r>
      <w:r>
        <w:rPr>
          <w:rFonts w:ascii="Times New Roman" w:eastAsia="宋体" w:hAnsi="Times New Roman" w:cs="Times New Roman"/>
          <w:i/>
          <w:iCs/>
          <w:sz w:val="20"/>
          <w:szCs w:val="20"/>
        </w:rPr>
        <w:t>re-interpreting</w:t>
      </w:r>
      <w:r>
        <w:rPr>
          <w:rFonts w:ascii="Times New Roman" w:eastAsia="宋体" w:hAnsi="Times New Roman" w:cs="Times New Roman" w:hint="eastAsia"/>
          <w:i/>
          <w:iCs/>
          <w:sz w:val="20"/>
          <w:szCs w:val="20"/>
        </w:rPr>
        <w:t xml:space="preserve"> existing bit field in DCI to indicate whether the HARQ feedback for the at least one transport block scheduled by this DCI is disabled or not.</w:t>
      </w:r>
    </w:p>
    <w:p w14:paraId="2BB76E3F" w14:textId="2D7FF402"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w:t>
      </w:r>
      <w:r>
        <w:rPr>
          <w:rFonts w:ascii="Times New Roman" w:eastAsia="宋体" w:hAnsi="Times New Roman" w:hint="eastAsia"/>
          <w:bCs/>
          <w:i/>
          <w:sz w:val="20"/>
          <w:szCs w:val="20"/>
        </w:rPr>
        <w:t xml:space="preserve"> W</w:t>
      </w:r>
      <w:r>
        <w:rPr>
          <w:rFonts w:ascii="Times New Roman" w:eastAsia="宋体" w:hAnsi="Times New Roman"/>
          <w:bCs/>
          <w:i/>
          <w:sz w:val="20"/>
          <w:szCs w:val="20"/>
        </w:rPr>
        <w:t>hether the DCI based HARQ feedback enabling/disabling configuration function is enabled</w:t>
      </w:r>
      <w:r>
        <w:rPr>
          <w:rFonts w:ascii="Times New Roman" w:eastAsia="宋体" w:hAnsi="Times New Roman" w:hint="eastAsia"/>
          <w:bCs/>
          <w:i/>
          <w:sz w:val="20"/>
          <w:szCs w:val="20"/>
        </w:rPr>
        <w:t xml:space="preserve"> can be semi-statically configured through a RRC signaling.</w:t>
      </w:r>
      <w:r w:rsidR="003F5890">
        <w:rPr>
          <w:rFonts w:ascii="Times New Roman" w:eastAsia="宋体" w:hAnsi="Times New Roman"/>
          <w:bCs/>
          <w:i/>
          <w:sz w:val="20"/>
          <w:szCs w:val="20"/>
        </w:rPr>
        <w:t xml:space="preserve"> When DCI based configuration is supported, the DCI configuration on HARQ feedback enabling/disabling will have higher priority than RRC configuration.</w:t>
      </w:r>
    </w:p>
    <w:p w14:paraId="370D2BBF" w14:textId="77777777" w:rsidR="00A40A8E" w:rsidRDefault="00AA632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Further study on potential issues</w:t>
      </w:r>
    </w:p>
    <w:p w14:paraId="0F541575"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Potential issues mentioned in this section are related to HARQ disabling and corresponding standard impacts/enhancements. Since the HARQ feedback disable design is still under discussion, we only state our views on the main issues.</w:t>
      </w:r>
    </w:p>
    <w:p w14:paraId="731BBA61" w14:textId="7DE9A28F" w:rsidR="00A40A8E" w:rsidRDefault="00AA6325">
      <w:pPr>
        <w:pStyle w:val="2"/>
        <w:numPr>
          <w:ilvl w:val="1"/>
          <w:numId w:val="1"/>
        </w:numPr>
        <w:spacing w:before="0" w:after="0"/>
        <w:ind w:left="851" w:hanging="431"/>
        <w:rPr>
          <w:rFonts w:eastAsia="黑体" w:cs="Times New Roman"/>
          <w:b/>
          <w:bCs/>
          <w:sz w:val="24"/>
          <w:szCs w:val="28"/>
          <w:lang w:val="en-US"/>
        </w:rPr>
      </w:pPr>
      <w:bookmarkStart w:id="3" w:name="_GoBack"/>
      <w:bookmarkEnd w:id="3"/>
      <w:r>
        <w:rPr>
          <w:rFonts w:eastAsia="黑体" w:cs="Times New Roman" w:hint="eastAsia"/>
          <w:b/>
          <w:bCs/>
          <w:sz w:val="24"/>
          <w:szCs w:val="28"/>
          <w:lang w:val="en-US"/>
        </w:rPr>
        <w:t>HARQ feedback for scheduling multiple TB</w:t>
      </w:r>
      <w:r>
        <w:rPr>
          <w:rFonts w:eastAsia="黑体" w:cs="Times New Roman"/>
          <w:b/>
          <w:bCs/>
          <w:sz w:val="24"/>
          <w:szCs w:val="28"/>
          <w:lang w:val="en-US"/>
        </w:rPr>
        <w:t>s</w:t>
      </w:r>
    </w:p>
    <w:p w14:paraId="09CA226A"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RAN1#110bis-e meeting, solutions for the case of transmitting HARQ feedback for a multi-TB block where some TBs (or TB bundles) have feedback enabled, while some others have feedback disabled w</w:t>
      </w:r>
      <w:r>
        <w:rPr>
          <w:rFonts w:ascii="Times New Roman" w:eastAsia="宋体" w:hAnsi="Times New Roman" w:cs="Times New Roman" w:hint="eastAsia"/>
          <w:sz w:val="20"/>
          <w:szCs w:val="20"/>
          <w:lang w:bidi="ar"/>
        </w:rPr>
        <w:t xml:space="preserve">ere discussed for further study. </w:t>
      </w:r>
    </w:p>
    <w:p w14:paraId="79A9FD6D" w14:textId="4B5D019F" w:rsidR="00A40A8E" w:rsidRDefault="00AA6325">
      <w:pPr>
        <w:numPr>
          <w:ilvl w:val="3"/>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cs="Times New Roman" w:hint="eastAsia"/>
          <w:sz w:val="20"/>
          <w:szCs w:val="20"/>
        </w:rPr>
        <w:t xml:space="preserve">In our </w:t>
      </w:r>
      <w:r>
        <w:rPr>
          <w:rFonts w:ascii="Times New Roman" w:eastAsia="宋体" w:hAnsi="Times New Roman" w:cs="Times New Roman"/>
          <w:sz w:val="20"/>
          <w:szCs w:val="20"/>
        </w:rPr>
        <w:t>consideration</w:t>
      </w:r>
      <w:r>
        <w:rPr>
          <w:rFonts w:ascii="Times New Roman" w:eastAsia="宋体" w:hAnsi="Times New Roman" w:cs="Times New Roman" w:hint="eastAsia"/>
          <w:sz w:val="20"/>
          <w:szCs w:val="20"/>
        </w:rPr>
        <w:t>, in order to obtain the gain from disabling HARQ feedback while achieving a unified design that minimizes the impact on the standard,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UE will always report ACK for disabled HARQ process if needed. Based on the eNB configuration for disabling HARQ feedback per HARQ process per UE, for a given HARQ process, the eNB will know that the UE will not transmit HARQ feedback on NPUSCH format 2 for NB-IoT or PUCCH for eMTC. Therefore, for a disabled HARQ process, when the initial or retransmission is completed, a new transmission or retransmission of the same HARQ process can be performed without </w:t>
      </w:r>
      <w:r>
        <w:rPr>
          <w:rFonts w:ascii="Times New Roman" w:eastAsia="宋体" w:hAnsi="Times New Roman" w:cs="Times New Roman"/>
          <w:sz w:val="20"/>
          <w:szCs w:val="20"/>
        </w:rPr>
        <w:t>waiting</w:t>
      </w:r>
      <w:r w:rsidR="00176870">
        <w:rPr>
          <w:rFonts w:ascii="Times New Roman" w:eastAsia="宋体" w:hAnsi="Times New Roman" w:cs="Times New Roman"/>
          <w:sz w:val="20"/>
          <w:szCs w:val="20"/>
        </w:rPr>
        <w:t xml:space="preserve"> even if a ACK is assumed to be reported by UE</w:t>
      </w:r>
      <w:r>
        <w:rPr>
          <w:rFonts w:ascii="Times New Roman" w:eastAsia="宋体" w:hAnsi="Times New Roman" w:cs="Times New Roman"/>
          <w:sz w:val="20"/>
          <w:szCs w:val="20"/>
        </w:rPr>
        <w:t>. Whereas</w:t>
      </w:r>
      <w:r>
        <w:rPr>
          <w:rFonts w:ascii="Times New Roman" w:eastAsia="宋体" w:hAnsi="Times New Roman" w:cs="Times New Roman" w:hint="eastAsia"/>
          <w:sz w:val="20"/>
          <w:szCs w:val="20"/>
        </w:rPr>
        <w:t xml:space="preserve"> for a enabled HARQ process, the expected eNB transmission behavior is to wait for the ACK/NACK of the current DL packet transmission before scheduling a new/</w:t>
      </w:r>
      <w:r>
        <w:rPr>
          <w:rFonts w:ascii="Times New Roman" w:eastAsia="宋体" w:hAnsi="Times New Roman" w:cs="Times New Roman"/>
          <w:sz w:val="20"/>
          <w:szCs w:val="20"/>
        </w:rPr>
        <w:t>retransmission, which</w:t>
      </w:r>
      <w:r>
        <w:rPr>
          <w:rFonts w:ascii="Times New Roman" w:eastAsia="宋体" w:hAnsi="Times New Roman" w:cs="Times New Roman" w:hint="eastAsia"/>
          <w:sz w:val="20"/>
          <w:szCs w:val="20"/>
        </w:rPr>
        <w:t xml:space="preserve"> is consistent with the current standard.</w:t>
      </w:r>
      <w:r w:rsidR="00EB4C17">
        <w:rPr>
          <w:rFonts w:ascii="Times New Roman" w:eastAsia="宋体" w:hAnsi="Times New Roman" w:cs="Times New Roman"/>
          <w:sz w:val="20"/>
          <w:szCs w:val="20"/>
        </w:rPr>
        <w:t xml:space="preserve"> </w:t>
      </w:r>
      <w:r>
        <w:rPr>
          <w:rFonts w:ascii="Times New Roman" w:eastAsia="宋体" w:hAnsi="Times New Roman" w:hint="eastAsia"/>
          <w:b/>
          <w:i/>
          <w:sz w:val="20"/>
          <w:szCs w:val="20"/>
        </w:rPr>
        <w:t xml:space="preserve">Proposal </w:t>
      </w:r>
      <w:r w:rsidR="00B36CCF">
        <w:rPr>
          <w:rFonts w:ascii="Times New Roman" w:eastAsia="宋体" w:hAnsi="Times New Roman"/>
          <w:b/>
          <w:i/>
          <w:sz w:val="20"/>
          <w:szCs w:val="20"/>
        </w:rPr>
        <w:t>4</w:t>
      </w:r>
      <w:r>
        <w:rPr>
          <w:rFonts w:ascii="Times New Roman" w:eastAsia="宋体" w:hAnsi="Times New Roman"/>
          <w:b/>
          <w:i/>
          <w:sz w:val="20"/>
          <w:szCs w:val="20"/>
        </w:rPr>
        <w:t>:</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the </w:t>
      </w:r>
      <w:r>
        <w:rPr>
          <w:rFonts w:ascii="Times New Roman" w:eastAsia="宋体" w:hAnsi="Times New Roman"/>
          <w:bCs/>
          <w:i/>
          <w:sz w:val="20"/>
          <w:szCs w:val="20"/>
        </w:rPr>
        <w:t>HARQ feedback for scheduling multiple TB scenario</w:t>
      </w:r>
      <w:r>
        <w:rPr>
          <w:rFonts w:ascii="Times New Roman" w:eastAsia="宋体" w:hAnsi="Times New Roman" w:hint="eastAsia"/>
          <w:bCs/>
          <w:i/>
          <w:sz w:val="20"/>
          <w:szCs w:val="20"/>
        </w:rPr>
        <w:t xml:space="preserve">, ACK is assumed </w:t>
      </w:r>
      <w:r>
        <w:rPr>
          <w:rFonts w:ascii="Times New Roman" w:eastAsia="宋体" w:hAnsi="Times New Roman"/>
          <w:bCs/>
          <w:i/>
          <w:sz w:val="20"/>
          <w:szCs w:val="20"/>
        </w:rPr>
        <w:t xml:space="preserve">to mitigate the impact of introducing feedback-less HARQ processes on multi-TB scheduling for eMTC and NB-IoT. </w:t>
      </w:r>
    </w:p>
    <w:p w14:paraId="096C2FAB" w14:textId="77777777" w:rsidR="00A40A8E" w:rsidRDefault="00AA6325">
      <w:pPr>
        <w:pStyle w:val="2"/>
        <w:numPr>
          <w:ilvl w:val="1"/>
          <w:numId w:val="1"/>
        </w:numPr>
        <w:ind w:left="851" w:hanging="431"/>
        <w:rPr>
          <w:rFonts w:eastAsia="黑体" w:cs="Times New Roman"/>
          <w:b/>
          <w:bCs/>
          <w:sz w:val="24"/>
          <w:szCs w:val="28"/>
          <w:lang w:val="en-US"/>
        </w:rPr>
      </w:pPr>
      <w:r>
        <w:rPr>
          <w:rFonts w:eastAsia="黑体" w:cs="Times New Roman" w:hint="eastAsia"/>
          <w:b/>
          <w:bCs/>
          <w:sz w:val="24"/>
          <w:szCs w:val="28"/>
          <w:lang w:val="en-US"/>
        </w:rPr>
        <w:t>SPS PDSCH</w:t>
      </w:r>
    </w:p>
    <w:p w14:paraId="166D6A59"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RAN1#110bis-e meeting, disabling of HARQ feedback for SPS PDSCH was discussed for further study. In Rel-17 NR-NTN, following agreement has been agreed for HARQ feedback of SPS PDSCH:</w:t>
      </w:r>
    </w:p>
    <w:p w14:paraId="7E9586C9" w14:textId="77777777" w:rsidR="00A40A8E" w:rsidRDefault="00AA6325">
      <w:pPr>
        <w:shd w:val="clear" w:color="auto" w:fill="FFFFFF"/>
        <w:spacing w:beforeLines="50" w:before="120" w:afterLines="50" w:after="120" w:line="240" w:lineRule="auto"/>
        <w:ind w:leftChars="200" w:left="440"/>
        <w:rPr>
          <w:rFonts w:ascii="Times New Roman" w:eastAsia="serif" w:hAnsi="Times New Roman" w:cs="Times New Roman"/>
          <w:b/>
          <w:bCs/>
          <w:i/>
          <w:iCs/>
          <w:color w:val="000000"/>
          <w:sz w:val="20"/>
          <w:szCs w:val="20"/>
          <w:shd w:val="clear" w:color="auto" w:fill="00FF00"/>
          <w:lang w:bidi="ar"/>
        </w:rPr>
      </w:pPr>
      <w:r>
        <w:rPr>
          <w:rFonts w:ascii="Times New Roman" w:eastAsia="serif" w:hAnsi="Times New Roman" w:cs="Times New Roman"/>
          <w:b/>
          <w:bCs/>
          <w:i/>
          <w:iCs/>
          <w:color w:val="000000"/>
          <w:sz w:val="20"/>
          <w:szCs w:val="20"/>
          <w:shd w:val="clear" w:color="auto" w:fill="00FF00"/>
          <w:lang w:bidi="ar"/>
        </w:rPr>
        <w:t>Agreement</w:t>
      </w:r>
    </w:p>
    <w:p w14:paraId="4960BE89" w14:textId="77777777" w:rsidR="00A40A8E" w:rsidRDefault="00AA6325">
      <w:pPr>
        <w:numPr>
          <w:ilvl w:val="7"/>
          <w:numId w:val="0"/>
        </w:numPr>
        <w:spacing w:beforeLines="50" w:before="120" w:afterLines="50" w:after="120" w:line="240" w:lineRule="auto"/>
        <w:ind w:leftChars="200" w:left="440"/>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HARQ feedback of each SPS PDSCH, UE follows the per-process configuration of HARQ feedback enabled/disabled for the associated HARQ process, except for the first SPS PDSCH after activation if HARQ feedback for SPS activation is additionally enabled.</w:t>
      </w:r>
    </w:p>
    <w:p w14:paraId="1F7A6ECE" w14:textId="77777777"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NR-NTN, additional configuration for HARQ feedback of first SPS PDSCH was specified. With this feature, network is able to know whether the SPS configuration is successful via the feedback of first SPS PDSCH. The solution for NR-NTN can be directly reused in IoT-NTN to achieve the same feature.</w:t>
      </w:r>
    </w:p>
    <w:p w14:paraId="36F990EE" w14:textId="4A13FC97" w:rsidR="00A40A8E" w:rsidRDefault="00AA6325">
      <w:pPr>
        <w:numPr>
          <w:ilvl w:val="3"/>
          <w:numId w:val="0"/>
        </w:numPr>
        <w:spacing w:after="120"/>
        <w:ind w:leftChars="200" w:left="440"/>
        <w:jc w:val="both"/>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B36CCF">
        <w:rPr>
          <w:rFonts w:ascii="Times New Roman" w:eastAsia="宋体" w:hAnsi="Times New Roman"/>
          <w:b/>
          <w:i/>
          <w:sz w:val="20"/>
          <w:szCs w:val="20"/>
        </w:rPr>
        <w:t>5</w:t>
      </w:r>
      <w:r>
        <w:rPr>
          <w:rFonts w:ascii="Times New Roman" w:eastAsia="宋体" w:hAnsi="Times New Roman" w:hint="eastAsia"/>
          <w:b/>
          <w:i/>
          <w:sz w:val="20"/>
          <w:szCs w:val="20"/>
        </w:rPr>
        <w:t xml:space="preserve">: </w:t>
      </w:r>
      <w:r>
        <w:rPr>
          <w:rFonts w:ascii="Times New Roman" w:eastAsia="serif" w:hAnsi="Times New Roman" w:cs="Times New Roman"/>
          <w:i/>
          <w:iCs/>
          <w:color w:val="000000"/>
          <w:sz w:val="20"/>
          <w:szCs w:val="20"/>
          <w:shd w:val="clear" w:color="auto" w:fill="FFFFFF"/>
          <w:lang w:bidi="ar"/>
        </w:rPr>
        <w:t xml:space="preserve">For HARQ feedback of each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 xml:space="preserve">PDSCH, UE follows the per-process configuration of HARQ feedback enabled/disabled for the associated HARQ process, except for the first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PDSCH after activation if HARQ feedback for SPS activation is additionally enabled</w:t>
      </w:r>
      <w:r>
        <w:rPr>
          <w:rFonts w:ascii="Times New Roman" w:hAnsi="Times New Roman" w:cs="Times New Roman" w:hint="eastAsia"/>
          <w:i/>
          <w:sz w:val="20"/>
          <w:szCs w:val="20"/>
        </w:rPr>
        <w:t>.</w:t>
      </w:r>
    </w:p>
    <w:p w14:paraId="1F39C7DD" w14:textId="77777777" w:rsidR="00A40A8E" w:rsidRDefault="00AA6325">
      <w:pPr>
        <w:pStyle w:val="2"/>
        <w:numPr>
          <w:ilvl w:val="1"/>
          <w:numId w:val="1"/>
        </w:numPr>
        <w:ind w:left="851" w:hanging="431"/>
        <w:rPr>
          <w:rFonts w:eastAsia="黑体" w:cs="Times New Roman"/>
          <w:b/>
          <w:bCs/>
          <w:sz w:val="24"/>
          <w:szCs w:val="28"/>
          <w:lang w:val="en-US"/>
        </w:rPr>
      </w:pPr>
      <w:r>
        <w:rPr>
          <w:rFonts w:eastAsia="黑体" w:cs="Times New Roman" w:hint="eastAsia"/>
          <w:b/>
          <w:bCs/>
          <w:sz w:val="24"/>
          <w:szCs w:val="28"/>
          <w:lang w:val="en-US"/>
        </w:rPr>
        <w:t>(N)PDSCH/(N)PDCCH scheduling restriction</w:t>
      </w:r>
    </w:p>
    <w:p w14:paraId="0A354680" w14:textId="77777777" w:rsidR="00EB4C17"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RAN1#110bis-e meeting, the issue of (N)PDSCH/(N)PDCCH scheduling restriction has been identified and discussed for further study.</w:t>
      </w:r>
      <w:r w:rsidR="00EB4C17">
        <w:rPr>
          <w:rFonts w:ascii="Times New Roman" w:eastAsia="宋体" w:hAnsi="Times New Roman" w:cs="Times New Roman"/>
          <w:sz w:val="20"/>
          <w:szCs w:val="20"/>
          <w:lang w:bidi="ar"/>
        </w:rPr>
        <w:t xml:space="preserve"> The following agreement has been achieved for NB-IoT over NTN:</w:t>
      </w:r>
      <w:r>
        <w:rPr>
          <w:rFonts w:ascii="Times New Roman" w:eastAsia="宋体" w:hAnsi="Times New Roman" w:cs="Times New Roman" w:hint="eastAsia"/>
          <w:sz w:val="20"/>
          <w:szCs w:val="20"/>
          <w:lang w:bidi="ar"/>
        </w:rPr>
        <w:t xml:space="preserve"> </w:t>
      </w:r>
    </w:p>
    <w:p w14:paraId="38DE5F43" w14:textId="77777777" w:rsidR="00EB4C17" w:rsidRPr="00EB4C17" w:rsidRDefault="00EB4C17" w:rsidP="00EB4C17">
      <w:pPr>
        <w:shd w:val="clear" w:color="auto" w:fill="FFFFFF"/>
        <w:spacing w:beforeLines="50" w:before="120" w:afterLines="50" w:after="120" w:line="240" w:lineRule="auto"/>
        <w:ind w:leftChars="200" w:left="440"/>
        <w:jc w:val="both"/>
        <w:rPr>
          <w:rFonts w:ascii="Times New Roman" w:eastAsia="serif" w:hAnsi="Times New Roman" w:cs="Times New Roman"/>
          <w:b/>
          <w:bCs/>
          <w:i/>
          <w:iCs/>
          <w:color w:val="000000"/>
          <w:sz w:val="20"/>
          <w:szCs w:val="20"/>
          <w:shd w:val="clear" w:color="auto" w:fill="00FF00"/>
          <w:lang w:bidi="ar"/>
        </w:rPr>
      </w:pPr>
      <w:r w:rsidRPr="00EB4C17">
        <w:rPr>
          <w:rFonts w:ascii="Times New Roman" w:eastAsia="serif" w:hAnsi="Times New Roman" w:cs="Times New Roman"/>
          <w:b/>
          <w:bCs/>
          <w:i/>
          <w:iCs/>
          <w:color w:val="000000"/>
          <w:sz w:val="20"/>
          <w:szCs w:val="20"/>
          <w:shd w:val="clear" w:color="auto" w:fill="00FF00"/>
          <w:lang w:bidi="ar"/>
        </w:rPr>
        <w:lastRenderedPageBreak/>
        <w:t>Agreement</w:t>
      </w:r>
    </w:p>
    <w:p w14:paraId="45F9611C" w14:textId="77777777" w:rsidR="00EB4C17" w:rsidRPr="00EB4C17" w:rsidRDefault="00EB4C17" w:rsidP="00EB4C17">
      <w:pPr>
        <w:ind w:leftChars="200" w:left="440"/>
        <w:rPr>
          <w:rFonts w:ascii="Times New Roman" w:eastAsia="serif" w:hAnsi="Times New Roman" w:cs="Times New Roman"/>
          <w:i/>
          <w:iCs/>
          <w:color w:val="000000"/>
          <w:sz w:val="20"/>
          <w:szCs w:val="20"/>
          <w:shd w:val="clear" w:color="auto" w:fill="FFFFFF"/>
          <w:lang w:bidi="ar"/>
        </w:rPr>
      </w:pPr>
      <w:r w:rsidRPr="00EB4C17">
        <w:rPr>
          <w:rFonts w:ascii="Times New Roman" w:eastAsia="serif" w:hAnsi="Times New Roman" w:cs="Times New Roman"/>
          <w:i/>
          <w:iCs/>
          <w:color w:val="000000"/>
          <w:sz w:val="20"/>
          <w:szCs w:val="20"/>
          <w:shd w:val="clear" w:color="auto" w:fill="FFFFFF"/>
          <w:lang w:bidi="ar"/>
        </w:rPr>
        <w:t>For a DL HARQ process with disabled HARQ feedback in NB-IoT, UE is not required to monitor NPDCCH in a period of Y=12(ms) from the end of reception of the NPDSCH.</w:t>
      </w:r>
    </w:p>
    <w:p w14:paraId="06B5351E" w14:textId="3D6C98F8"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 xml:space="preserve">In </w:t>
      </w:r>
      <w:r w:rsidRPr="00D61891">
        <w:rPr>
          <w:rFonts w:ascii="Times New Roman" w:eastAsia="宋体" w:hAnsi="Times New Roman" w:cs="Times New Roman"/>
          <w:sz w:val="20"/>
          <w:szCs w:val="20"/>
          <w:lang w:bidi="ar"/>
        </w:rPr>
        <w:t>Rel-17 NR-NTN</w:t>
      </w:r>
      <w:r w:rsidRPr="00EB4C17">
        <w:rPr>
          <w:rFonts w:ascii="Times New Roman" w:eastAsia="宋体" w:hAnsi="Times New Roman" w:cs="Times New Roman" w:hint="eastAsia"/>
          <w:sz w:val="20"/>
          <w:szCs w:val="20"/>
          <w:lang w:bidi="ar"/>
        </w:rPr>
        <w:t>,</w:t>
      </w:r>
      <w:r>
        <w:rPr>
          <w:rFonts w:ascii="Times New Roman" w:eastAsia="宋体" w:hAnsi="Times New Roman" w:cs="Times New Roman" w:hint="eastAsia"/>
          <w:sz w:val="20"/>
          <w:szCs w:val="20"/>
          <w:lang w:bidi="ar"/>
        </w:rPr>
        <w:t xml:space="preserve"> following agreements have been agreed for PDSCH/PDCCH scheduling restriction:</w:t>
      </w:r>
    </w:p>
    <w:p w14:paraId="70C36C7A" w14:textId="1A8CC2CF" w:rsidR="00A40A8E" w:rsidRDefault="00AA6325">
      <w:pPr>
        <w:shd w:val="clear" w:color="auto" w:fill="FFFFFF"/>
        <w:spacing w:beforeLines="50" w:before="120" w:afterLines="50" w:after="120" w:line="240" w:lineRule="auto"/>
        <w:ind w:leftChars="200" w:left="440"/>
        <w:jc w:val="both"/>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14:paraId="14258773" w14:textId="0C25D337" w:rsidR="00A40A8E" w:rsidRDefault="00AA6325">
      <w:pPr>
        <w:numPr>
          <w:ilvl w:val="7"/>
          <w:numId w:val="0"/>
        </w:numPr>
        <w:spacing w:beforeLines="50" w:before="120" w:afterLines="50" w:after="120" w:line="240" w:lineRule="auto"/>
        <w:ind w:leftChars="200" w:left="440"/>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7EC9F574" w14:textId="6ECECB22" w:rsidR="00A40A8E" w:rsidRDefault="00AA6325">
      <w:pPr>
        <w:numPr>
          <w:ilvl w:val="0"/>
          <w:numId w:val="7"/>
        </w:numPr>
        <w:spacing w:beforeLines="50" w:before="120" w:afterLines="50" w:after="120" w:line="240" w:lineRule="auto"/>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Working assumption: X = T_proc,1</w:t>
      </w:r>
    </w:p>
    <w:p w14:paraId="24DA6990" w14:textId="3FE626C0" w:rsidR="00A40A8E" w:rsidRDefault="00AA6325">
      <w:pPr>
        <w:numPr>
          <w:ilvl w:val="0"/>
          <w:numId w:val="7"/>
        </w:numPr>
        <w:spacing w:beforeLines="50" w:before="120" w:afterLines="50" w:after="120" w:line="240" w:lineRule="auto"/>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FFS: Whether X should be changed to X = max(T_proc,1, K1) where K1 is the minimum k1 if it is configured, otherwise k1 = 0</w:t>
      </w:r>
    </w:p>
    <w:p w14:paraId="6A108E0E" w14:textId="18A09461" w:rsidR="00A40A8E" w:rsidRDefault="00AA6325">
      <w:pPr>
        <w:numPr>
          <w:ilvl w:val="0"/>
          <w:numId w:val="7"/>
        </w:numPr>
        <w:spacing w:beforeLines="50" w:before="120" w:afterLines="50" w:after="120" w:line="240" w:lineRule="auto"/>
        <w:jc w:val="both"/>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Note: The TB of the two PDSCHs can be either same or different</w:t>
      </w:r>
    </w:p>
    <w:p w14:paraId="18564594" w14:textId="20BA97CD" w:rsidR="00A40A8E" w:rsidRDefault="00EB4C17">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lang w:bidi="ar"/>
        </w:rPr>
        <w:t xml:space="preserve">From above agreements, it can be observed that NR and NB-IoT UEs have different behaviors. For NR, UE will only stop monitoring PDCCH corresponding to the occupied HARQ process after receiving a PDSCH. If UE have other free HARQ process, UE can still monitor PDCCH immediately after receiving a PDSCH. While for NB-IoT, UE will stop monitoring </w:t>
      </w:r>
      <w:r w:rsidR="00B73C68">
        <w:rPr>
          <w:rFonts w:ascii="Times New Roman" w:eastAsia="宋体" w:hAnsi="Times New Roman" w:cs="Times New Roman"/>
          <w:sz w:val="20"/>
          <w:szCs w:val="20"/>
          <w:lang w:bidi="ar"/>
        </w:rPr>
        <w:t>N</w:t>
      </w:r>
      <w:r>
        <w:rPr>
          <w:rFonts w:ascii="Times New Roman" w:eastAsia="宋体" w:hAnsi="Times New Roman" w:cs="Times New Roman"/>
          <w:sz w:val="20"/>
          <w:szCs w:val="20"/>
          <w:lang w:bidi="ar"/>
        </w:rPr>
        <w:t xml:space="preserve">PDCCH </w:t>
      </w:r>
      <w:r w:rsidR="00B73C68">
        <w:rPr>
          <w:rFonts w:ascii="Times New Roman" w:eastAsia="宋体" w:hAnsi="Times New Roman" w:cs="Times New Roman"/>
          <w:sz w:val="20"/>
          <w:szCs w:val="20"/>
          <w:lang w:bidi="ar"/>
        </w:rPr>
        <w:t xml:space="preserve">after NPDSCH receiving for a period of time </w:t>
      </w:r>
      <w:r>
        <w:rPr>
          <w:rFonts w:ascii="Times New Roman" w:eastAsia="宋体" w:hAnsi="Times New Roman" w:cs="Times New Roman"/>
          <w:sz w:val="20"/>
          <w:szCs w:val="20"/>
          <w:lang w:bidi="ar"/>
        </w:rPr>
        <w:t>even if</w:t>
      </w:r>
      <w:r w:rsidR="00B73C68">
        <w:rPr>
          <w:rFonts w:ascii="Times New Roman" w:eastAsia="宋体" w:hAnsi="Times New Roman" w:cs="Times New Roman"/>
          <w:sz w:val="20"/>
          <w:szCs w:val="20"/>
          <w:lang w:bidi="ar"/>
        </w:rPr>
        <w:t xml:space="preserve"> it may have a free HARQ process. For eMTC, since FDD is supported and the number of HARQ process is larger than NB-IoT, it is preferred to reuse the NR-NTN mechanism for PDCCH monitoring restriction, which avoids throughput loss. Moreover, </w:t>
      </w:r>
      <w:r w:rsidR="00AA6325">
        <w:rPr>
          <w:rFonts w:ascii="Times New Roman" w:eastAsia="宋体" w:hAnsi="Times New Roman" w:cs="Times New Roman" w:hint="eastAsia"/>
          <w:sz w:val="20"/>
          <w:szCs w:val="20"/>
          <w:lang w:bidi="ar"/>
        </w:rPr>
        <w:t xml:space="preserve">due to lower UE capability, the time </w:t>
      </w:r>
      <w:r w:rsidR="00AA6325">
        <w:rPr>
          <w:rFonts w:ascii="Times New Roman" w:eastAsia="宋体" w:hAnsi="Times New Roman" w:cs="Times New Roman" w:hint="eastAsia"/>
          <w:sz w:val="20"/>
          <w:szCs w:val="20"/>
        </w:rPr>
        <w:t xml:space="preserve">gap </w:t>
      </w:r>
      <w:r w:rsidR="00AA6325">
        <w:rPr>
          <w:rFonts w:ascii="Times New Roman" w:eastAsia="宋体" w:hAnsi="Times New Roman" w:cs="Times New Roman" w:hint="eastAsia"/>
          <w:sz w:val="20"/>
          <w:szCs w:val="20"/>
          <w:lang w:bidi="ar"/>
        </w:rPr>
        <w:t xml:space="preserve">X should be updated based on the processing delay of IoT devices. In legacy eMTC, there is no definition of the processing time as in NR. </w:t>
      </w:r>
      <w:r w:rsidR="00AA6325">
        <w:rPr>
          <w:rFonts w:ascii="Times New Roman" w:eastAsia="宋体" w:hAnsi="Times New Roman" w:cs="Times New Roman" w:hint="eastAsia"/>
          <w:sz w:val="20"/>
          <w:szCs w:val="20"/>
        </w:rPr>
        <w:t xml:space="preserve">Instead, only HARQ-ACK delays after PDSCH </w:t>
      </w:r>
      <w:r w:rsidR="00B73C68">
        <w:rPr>
          <w:rFonts w:ascii="Times New Roman" w:eastAsia="宋体" w:hAnsi="Times New Roman" w:cs="Times New Roman"/>
          <w:sz w:val="20"/>
          <w:szCs w:val="20"/>
        </w:rPr>
        <w:t>is</w:t>
      </w:r>
      <w:r w:rsidR="00AA6325">
        <w:rPr>
          <w:rFonts w:ascii="Times New Roman" w:eastAsia="宋体" w:hAnsi="Times New Roman" w:cs="Times New Roman" w:hint="eastAsia"/>
          <w:sz w:val="20"/>
          <w:szCs w:val="20"/>
        </w:rPr>
        <w:t xml:space="preserve"> defined, whose minimum values </w:t>
      </w:r>
      <w:r w:rsidR="00B73C68">
        <w:rPr>
          <w:rFonts w:ascii="Times New Roman" w:eastAsia="宋体" w:hAnsi="Times New Roman" w:cs="Times New Roman"/>
          <w:sz w:val="20"/>
          <w:szCs w:val="20"/>
        </w:rPr>
        <w:t>is 3</w:t>
      </w:r>
      <w:r w:rsidR="00AA6325">
        <w:rPr>
          <w:rFonts w:ascii="Times New Roman" w:eastAsia="宋体" w:hAnsi="Times New Roman" w:cs="Times New Roman" w:hint="eastAsia"/>
          <w:sz w:val="20"/>
          <w:szCs w:val="20"/>
        </w:rPr>
        <w:t xml:space="preserve"> subframes. Hence, the time gap between the end of a PDSCH and the start of next PDCCH should be modified accordingly.</w:t>
      </w:r>
    </w:p>
    <w:p w14:paraId="40B7ED72" w14:textId="711D207F" w:rsidR="00A40A8E" w:rsidRDefault="00AA6325">
      <w:pPr>
        <w:numPr>
          <w:ilvl w:val="3"/>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B36CCF">
        <w:rPr>
          <w:rFonts w:ascii="Times New Roman" w:eastAsia="宋体" w:hAnsi="Times New Roman"/>
          <w:b/>
          <w:i/>
          <w:sz w:val="20"/>
          <w:szCs w:val="20"/>
        </w:rPr>
        <w:t>6</w:t>
      </w:r>
      <w:r>
        <w:rPr>
          <w:rFonts w:ascii="Times New Roman" w:eastAsia="宋体" w:hAnsi="Times New Roman" w:hint="eastAsia"/>
          <w:b/>
          <w:i/>
          <w:sz w:val="20"/>
          <w:szCs w:val="20"/>
        </w:rPr>
        <w:t xml:space="preserve">: </w:t>
      </w:r>
      <w:r w:rsidR="00B73C68" w:rsidRPr="00B73C68">
        <w:rPr>
          <w:rFonts w:ascii="Times New Roman" w:hAnsi="Times New Roman" w:cs="Times New Roman"/>
          <w:i/>
          <w:sz w:val="20"/>
          <w:szCs w:val="20"/>
        </w:rPr>
        <w:t xml:space="preserve">For a DL HARQ process with disabled HARQ feedback in eMTC, UE is not expected to receive another </w:t>
      </w:r>
      <w:r w:rsidR="00B73C68">
        <w:rPr>
          <w:rFonts w:ascii="Times New Roman" w:hAnsi="Times New Roman" w:cs="Times New Roman"/>
          <w:i/>
          <w:sz w:val="20"/>
          <w:szCs w:val="20"/>
        </w:rPr>
        <w:t>M</w:t>
      </w:r>
      <w:r w:rsidR="00B73C68" w:rsidRPr="00B73C68">
        <w:rPr>
          <w:rFonts w:ascii="Times New Roman" w:hAnsi="Times New Roman" w:cs="Times New Roman"/>
          <w:i/>
          <w:sz w:val="20"/>
          <w:szCs w:val="20"/>
        </w:rPr>
        <w:t xml:space="preserve">PDCCH carrying a DCI scheduling a PDSCH for a given HARQ process or to receive another PDSCH without corresponding </w:t>
      </w:r>
      <w:r w:rsidR="00B73C68">
        <w:rPr>
          <w:rFonts w:ascii="Times New Roman" w:hAnsi="Times New Roman" w:cs="Times New Roman"/>
          <w:i/>
          <w:sz w:val="20"/>
          <w:szCs w:val="20"/>
        </w:rPr>
        <w:t>M</w:t>
      </w:r>
      <w:r w:rsidR="00B73C68" w:rsidRPr="00B73C68">
        <w:rPr>
          <w:rFonts w:ascii="Times New Roman" w:hAnsi="Times New Roman" w:cs="Times New Roman"/>
          <w:i/>
          <w:sz w:val="20"/>
          <w:szCs w:val="20"/>
        </w:rPr>
        <w:t>PDCCH for the given HARQ process that starts until X=</w:t>
      </w:r>
      <w:r w:rsidR="00B73C68">
        <w:rPr>
          <w:rFonts w:ascii="Times New Roman" w:hAnsi="Times New Roman" w:cs="Times New Roman"/>
          <w:i/>
          <w:sz w:val="20"/>
          <w:szCs w:val="20"/>
        </w:rPr>
        <w:t>3ms</w:t>
      </w:r>
      <w:r w:rsidR="00B73C68" w:rsidRPr="00B73C68">
        <w:rPr>
          <w:rFonts w:ascii="Times New Roman" w:hAnsi="Times New Roman" w:cs="Times New Roman"/>
          <w:i/>
          <w:sz w:val="20"/>
          <w:szCs w:val="20"/>
        </w:rPr>
        <w:t xml:space="preserve"> after the end of the reception of the last PDSCH for that HARQ process.</w:t>
      </w:r>
    </w:p>
    <w:p w14:paraId="07850D93" w14:textId="3D286964" w:rsidR="00A40A8E" w:rsidRDefault="00AA632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16667049" w14:textId="77777777" w:rsidR="00A40A8E" w:rsidRDefault="00AA6325">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hAnsi="Times New Roman" w:hint="eastAsia"/>
          <w:sz w:val="20"/>
          <w:szCs w:val="20"/>
        </w:rPr>
        <w:t xml:space="preserve">the solutions to </w:t>
      </w:r>
      <w:r>
        <w:rPr>
          <w:rFonts w:ascii="Times New Roman" w:eastAsia="宋体" w:hAnsi="Times New Roman" w:cs="Times New Roman" w:hint="eastAsia"/>
          <w:sz w:val="20"/>
          <w:szCs w:val="20"/>
        </w:rPr>
        <w:t>configure the HARQ feedback enabling/disabling</w:t>
      </w:r>
      <w:r>
        <w:rPr>
          <w:rFonts w:ascii="Times New Roman" w:hAnsi="Times New Roman" w:hint="eastAsia"/>
          <w:sz w:val="20"/>
          <w:szCs w:val="20"/>
        </w:rPr>
        <w:t xml:space="preserve"> and potential issues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conducted with following proposals and observations:</w:t>
      </w:r>
    </w:p>
    <w:p w14:paraId="72EE569D" w14:textId="77777777" w:rsidR="00A40A8E" w:rsidRDefault="00AA6325">
      <w:pPr>
        <w:numPr>
          <w:ilvl w:val="3"/>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For NB-IoT NTN, configure/indicate enabling/disabling of HARQ feedback for downlink transmission by supporting Option 1 by default, and support Option 3 to override default configuration for corresponding transmission, as option 6a-4.</w:t>
      </w:r>
    </w:p>
    <w:p w14:paraId="3C7DCAC8" w14:textId="52600655" w:rsidR="00A40A8E" w:rsidRDefault="00AA6325">
      <w:pPr>
        <w:numPr>
          <w:ilvl w:val="7"/>
          <w:numId w:val="0"/>
        </w:numPr>
        <w:spacing w:beforeLines="50" w:before="120" w:afterLines="50" w:after="120" w:line="240" w:lineRule="auto"/>
        <w:ind w:leftChars="200" w:left="440"/>
        <w:jc w:val="both"/>
        <w:rPr>
          <w:rFonts w:ascii="Times New Roman" w:eastAsia="宋体"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w:t>
      </w:r>
      <w:r>
        <w:rPr>
          <w:rFonts w:ascii="Times New Roman" w:eastAsia="宋体" w:hAnsi="Times New Roman" w:hint="eastAsia"/>
          <w:bCs/>
          <w:i/>
          <w:sz w:val="20"/>
          <w:szCs w:val="20"/>
        </w:rPr>
        <w:t xml:space="preserve"> O</w:t>
      </w:r>
      <w:r>
        <w:rPr>
          <w:rFonts w:ascii="Times New Roman" w:eastAsia="宋体" w:hAnsi="Times New Roman" w:cs="Times New Roman" w:hint="eastAsia"/>
          <w:i/>
          <w:iCs/>
          <w:sz w:val="20"/>
          <w:szCs w:val="20"/>
        </w:rPr>
        <w:t>ne bit field by newly defined or re-interpreting existing bit field in DCI to indicate whether the HARQ feedback for the at least one transport block scheduled by this DCI is disabled or not.</w:t>
      </w:r>
    </w:p>
    <w:p w14:paraId="11C1A334" w14:textId="77777777" w:rsidR="00B36CCF" w:rsidRDefault="00B36CCF" w:rsidP="00B36CCF">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w:t>
      </w:r>
      <w:r>
        <w:rPr>
          <w:rFonts w:ascii="Times New Roman" w:eastAsia="宋体" w:hAnsi="Times New Roman" w:hint="eastAsia"/>
          <w:bCs/>
          <w:i/>
          <w:sz w:val="20"/>
          <w:szCs w:val="20"/>
        </w:rPr>
        <w:t xml:space="preserve"> W</w:t>
      </w:r>
      <w:r>
        <w:rPr>
          <w:rFonts w:ascii="Times New Roman" w:eastAsia="宋体" w:hAnsi="Times New Roman"/>
          <w:bCs/>
          <w:i/>
          <w:sz w:val="20"/>
          <w:szCs w:val="20"/>
        </w:rPr>
        <w:t>hether the DCI based HARQ feedback enabling/disabling configuration function is enabled</w:t>
      </w:r>
      <w:r>
        <w:rPr>
          <w:rFonts w:ascii="Times New Roman" w:eastAsia="宋体" w:hAnsi="Times New Roman" w:hint="eastAsia"/>
          <w:bCs/>
          <w:i/>
          <w:sz w:val="20"/>
          <w:szCs w:val="20"/>
        </w:rPr>
        <w:t xml:space="preserve"> can be semi-statically configured through a RRC signaling.</w:t>
      </w:r>
      <w:r>
        <w:rPr>
          <w:rFonts w:ascii="Times New Roman" w:eastAsia="宋体" w:hAnsi="Times New Roman"/>
          <w:bCs/>
          <w:i/>
          <w:sz w:val="20"/>
          <w:szCs w:val="20"/>
        </w:rPr>
        <w:t xml:space="preserve"> When DCI based configuration is supported, the DCI configuration on HARQ feedback enabling/disabling will have higher priority than RRC configuration.</w:t>
      </w:r>
    </w:p>
    <w:p w14:paraId="165656B1" w14:textId="1E0B7E8D" w:rsidR="00A40A8E" w:rsidRDefault="00AA6325">
      <w:pPr>
        <w:numPr>
          <w:ilvl w:val="3"/>
          <w:numId w:val="0"/>
        </w:numPr>
        <w:spacing w:beforeLines="50" w:before="120" w:afterLines="50" w:after="120" w:line="240" w:lineRule="auto"/>
        <w:ind w:leftChars="200" w:left="440"/>
        <w:jc w:val="both"/>
        <w:rPr>
          <w:rFonts w:ascii="Times New Roman" w:hAnsi="Times New Roman"/>
          <w:sz w:val="20"/>
          <w:szCs w:val="20"/>
        </w:rPr>
      </w:pPr>
      <w:r>
        <w:rPr>
          <w:rFonts w:ascii="Times New Roman" w:eastAsia="宋体" w:hAnsi="Times New Roman" w:hint="eastAsia"/>
          <w:b/>
          <w:i/>
          <w:sz w:val="20"/>
          <w:szCs w:val="20"/>
        </w:rPr>
        <w:t xml:space="preserve">Proposal </w:t>
      </w:r>
      <w:r w:rsidR="00B36CCF">
        <w:rPr>
          <w:rFonts w:ascii="Times New Roman" w:eastAsia="宋体" w:hAnsi="Times New Roman"/>
          <w:b/>
          <w:i/>
          <w:sz w:val="20"/>
          <w:szCs w:val="20"/>
        </w:rPr>
        <w:t>4</w:t>
      </w:r>
      <w:r>
        <w:rPr>
          <w:rFonts w:ascii="Times New Roman" w:eastAsia="宋体" w:hAnsi="Times New Roman"/>
          <w:b/>
          <w:i/>
          <w:sz w:val="20"/>
          <w:szCs w:val="20"/>
        </w:rPr>
        <w:t>:</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the </w:t>
      </w:r>
      <w:r>
        <w:rPr>
          <w:rFonts w:ascii="Times New Roman" w:eastAsia="宋体" w:hAnsi="Times New Roman"/>
          <w:bCs/>
          <w:i/>
          <w:sz w:val="20"/>
          <w:szCs w:val="20"/>
        </w:rPr>
        <w:t>HARQ feedback for scheduling multiple TB scenario</w:t>
      </w:r>
      <w:r>
        <w:rPr>
          <w:rFonts w:ascii="Times New Roman" w:eastAsia="宋体" w:hAnsi="Times New Roman" w:hint="eastAsia"/>
          <w:bCs/>
          <w:i/>
          <w:sz w:val="20"/>
          <w:szCs w:val="20"/>
        </w:rPr>
        <w:t xml:space="preserve">, ACK is assumed </w:t>
      </w:r>
      <w:r>
        <w:rPr>
          <w:rFonts w:ascii="Times New Roman" w:eastAsia="宋体" w:hAnsi="Times New Roman"/>
          <w:bCs/>
          <w:i/>
          <w:sz w:val="20"/>
          <w:szCs w:val="20"/>
        </w:rPr>
        <w:t>to mitigate the impact of introducing feedback-less HARQ processes on multi-TB scheduling for eMTC and NB-IoT.</w:t>
      </w:r>
      <w:r>
        <w:rPr>
          <w:rFonts w:ascii="Times New Roman" w:hAnsi="Times New Roman" w:hint="eastAsia"/>
          <w:sz w:val="20"/>
          <w:szCs w:val="20"/>
        </w:rPr>
        <w:t xml:space="preserve"> </w:t>
      </w:r>
    </w:p>
    <w:p w14:paraId="09487203" w14:textId="3A02990D" w:rsidR="00A40A8E" w:rsidRDefault="00AA6325">
      <w:pPr>
        <w:numPr>
          <w:ilvl w:val="3"/>
          <w:numId w:val="0"/>
        </w:numPr>
        <w:spacing w:after="120"/>
        <w:ind w:leftChars="200" w:left="440"/>
        <w:jc w:val="both"/>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B36CCF">
        <w:rPr>
          <w:rFonts w:ascii="Times New Roman" w:eastAsia="宋体" w:hAnsi="Times New Roman"/>
          <w:b/>
          <w:i/>
          <w:sz w:val="20"/>
          <w:szCs w:val="20"/>
        </w:rPr>
        <w:t>5</w:t>
      </w:r>
      <w:r>
        <w:rPr>
          <w:rFonts w:ascii="Times New Roman" w:eastAsia="宋体" w:hAnsi="Times New Roman" w:hint="eastAsia"/>
          <w:b/>
          <w:i/>
          <w:sz w:val="20"/>
          <w:szCs w:val="20"/>
        </w:rPr>
        <w:t xml:space="preserve">: </w:t>
      </w:r>
      <w:r>
        <w:rPr>
          <w:rFonts w:ascii="Times New Roman" w:eastAsia="serif" w:hAnsi="Times New Roman" w:cs="Times New Roman"/>
          <w:i/>
          <w:iCs/>
          <w:color w:val="000000"/>
          <w:sz w:val="20"/>
          <w:szCs w:val="20"/>
          <w:shd w:val="clear" w:color="auto" w:fill="FFFFFF"/>
          <w:lang w:bidi="ar"/>
        </w:rPr>
        <w:t xml:space="preserve">For HARQ feedback of each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 xml:space="preserve">PDSCH, UE follows the per-process configuration of HARQ feedback enabled/disabled for the associated HARQ process, except for the first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PDSCH after activation if HARQ feedback for SPS activation is additionally enabled</w:t>
      </w:r>
      <w:r>
        <w:rPr>
          <w:rFonts w:ascii="Times New Roman" w:hAnsi="Times New Roman" w:cs="Times New Roman" w:hint="eastAsia"/>
          <w:i/>
          <w:sz w:val="20"/>
          <w:szCs w:val="20"/>
        </w:rPr>
        <w:t>.</w:t>
      </w:r>
    </w:p>
    <w:p w14:paraId="597EB31C" w14:textId="77777777" w:rsidR="00D61891" w:rsidRDefault="00D61891">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ascii="Times New Roman" w:hAnsi="Times New Roman" w:cs="Times New Roman"/>
          <w:i/>
          <w:sz w:val="20"/>
          <w:szCs w:val="20"/>
        </w:rPr>
      </w:pPr>
      <w:r>
        <w:rPr>
          <w:rFonts w:ascii="Times New Roman" w:eastAsia="宋体" w:hAnsi="Times New Roman"/>
          <w:b/>
          <w:i/>
          <w:sz w:val="20"/>
          <w:szCs w:val="20"/>
        </w:rPr>
        <w:tab/>
      </w:r>
      <w:r w:rsidR="00B36CCF">
        <w:rPr>
          <w:rFonts w:ascii="Times New Roman" w:eastAsia="宋体" w:hAnsi="Times New Roman"/>
          <w:b/>
          <w:i/>
          <w:sz w:val="20"/>
          <w:szCs w:val="20"/>
        </w:rPr>
        <w:t>Proposal</w:t>
      </w:r>
      <w:r w:rsidR="00B36CCF">
        <w:rPr>
          <w:rFonts w:ascii="Times New Roman" w:eastAsia="宋体" w:hAnsi="Times New Roman" w:hint="eastAsia"/>
          <w:b/>
          <w:i/>
          <w:sz w:val="20"/>
          <w:szCs w:val="20"/>
        </w:rPr>
        <w:t xml:space="preserve"> </w:t>
      </w:r>
      <w:r w:rsidR="00B36CCF">
        <w:rPr>
          <w:rFonts w:ascii="Times New Roman" w:eastAsia="宋体" w:hAnsi="Times New Roman"/>
          <w:b/>
          <w:i/>
          <w:sz w:val="20"/>
          <w:szCs w:val="20"/>
        </w:rPr>
        <w:t>6</w:t>
      </w:r>
      <w:r w:rsidR="00B36CCF">
        <w:rPr>
          <w:rFonts w:ascii="Times New Roman" w:eastAsia="宋体" w:hAnsi="Times New Roman" w:hint="eastAsia"/>
          <w:b/>
          <w:i/>
          <w:sz w:val="20"/>
          <w:szCs w:val="20"/>
        </w:rPr>
        <w:t xml:space="preserve">: </w:t>
      </w:r>
      <w:r w:rsidR="00B36CCF" w:rsidRPr="00B73C68">
        <w:rPr>
          <w:rFonts w:ascii="Times New Roman" w:hAnsi="Times New Roman" w:cs="Times New Roman"/>
          <w:i/>
          <w:sz w:val="20"/>
          <w:szCs w:val="20"/>
        </w:rPr>
        <w:t xml:space="preserve">For a DL HARQ process with disabled HARQ feedback in eMTC, UE is not expected to receive another </w:t>
      </w:r>
      <w:r w:rsidR="00B36CCF">
        <w:rPr>
          <w:rFonts w:ascii="Times New Roman" w:hAnsi="Times New Roman" w:cs="Times New Roman"/>
          <w:i/>
          <w:sz w:val="20"/>
          <w:szCs w:val="20"/>
        </w:rPr>
        <w:t>M</w:t>
      </w:r>
      <w:r w:rsidR="00B36CCF" w:rsidRPr="00B73C68">
        <w:rPr>
          <w:rFonts w:ascii="Times New Roman" w:hAnsi="Times New Roman" w:cs="Times New Roman"/>
          <w:i/>
          <w:sz w:val="20"/>
          <w:szCs w:val="20"/>
        </w:rPr>
        <w:t xml:space="preserve">PDCCH carrying a DCI scheduling a PDSCH for a given HARQ process or to receive another PDSCH without corresponding </w:t>
      </w:r>
      <w:r w:rsidR="00B36CCF">
        <w:rPr>
          <w:rFonts w:ascii="Times New Roman" w:hAnsi="Times New Roman" w:cs="Times New Roman"/>
          <w:i/>
          <w:sz w:val="20"/>
          <w:szCs w:val="20"/>
        </w:rPr>
        <w:t>M</w:t>
      </w:r>
      <w:r w:rsidR="00B36CCF" w:rsidRPr="00B73C68">
        <w:rPr>
          <w:rFonts w:ascii="Times New Roman" w:hAnsi="Times New Roman" w:cs="Times New Roman"/>
          <w:i/>
          <w:sz w:val="20"/>
          <w:szCs w:val="20"/>
        </w:rPr>
        <w:t>PDCCH for the given HARQ process that starts until X=</w:t>
      </w:r>
      <w:r w:rsidR="00B36CCF">
        <w:rPr>
          <w:rFonts w:ascii="Times New Roman" w:hAnsi="Times New Roman" w:cs="Times New Roman"/>
          <w:i/>
          <w:sz w:val="20"/>
          <w:szCs w:val="20"/>
        </w:rPr>
        <w:t>3ms</w:t>
      </w:r>
      <w:r w:rsidR="00B36CCF" w:rsidRPr="00B73C68">
        <w:rPr>
          <w:rFonts w:ascii="Times New Roman" w:hAnsi="Times New Roman" w:cs="Times New Roman"/>
          <w:i/>
          <w:sz w:val="20"/>
          <w:szCs w:val="20"/>
        </w:rPr>
        <w:t xml:space="preserve"> after the end of the reception of the last PDSCH for that HARQ process</w:t>
      </w:r>
    </w:p>
    <w:p w14:paraId="313BEAE0" w14:textId="6CAA16E8" w:rsidR="00A40A8E" w:rsidRDefault="00B36CC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sidRPr="00B73C68">
        <w:rPr>
          <w:rFonts w:ascii="Times New Roman" w:hAnsi="Times New Roman" w:cs="Times New Roman"/>
          <w:i/>
          <w:sz w:val="20"/>
          <w:szCs w:val="20"/>
        </w:rPr>
        <w:lastRenderedPageBreak/>
        <w:t>.</w:t>
      </w:r>
      <w:r w:rsidR="00AA6325">
        <w:rPr>
          <w:rFonts w:eastAsia="黑体" w:cs="Times New Roman" w:hint="eastAsia"/>
          <w:b/>
          <w:bCs/>
          <w:sz w:val="28"/>
          <w:szCs w:val="30"/>
          <w:lang w:val="en-US"/>
        </w:rPr>
        <w:t>Reference</w:t>
      </w:r>
      <w:r w:rsidR="00AA6325">
        <w:rPr>
          <w:rFonts w:eastAsia="黑体" w:cs="Times New Roman"/>
          <w:b/>
          <w:bCs/>
          <w:sz w:val="28"/>
          <w:szCs w:val="30"/>
          <w:lang w:val="en-US"/>
        </w:rPr>
        <w:tab/>
      </w:r>
    </w:p>
    <w:p w14:paraId="62AE61C0" w14:textId="77777777" w:rsidR="00A40A8E" w:rsidRDefault="00AA6325">
      <w:pPr>
        <w:pStyle w:val="ListParagraph1"/>
        <w:numPr>
          <w:ilvl w:val="0"/>
          <w:numId w:val="8"/>
        </w:numPr>
        <w:spacing w:after="0" w:line="240" w:lineRule="auto"/>
        <w:ind w:left="505" w:hanging="505"/>
        <w:rPr>
          <w:rFonts w:ascii="Times New Roman" w:hAnsi="Times New Roman"/>
          <w:sz w:val="20"/>
          <w:szCs w:val="20"/>
        </w:rPr>
      </w:pPr>
      <w:bookmarkStart w:id="4" w:name="_Ref32552"/>
      <w:r>
        <w:rPr>
          <w:rFonts w:ascii="Times New Roman" w:hAnsi="Times New Roman" w:hint="eastAsia"/>
          <w:sz w:val="20"/>
          <w:szCs w:val="20"/>
        </w:rPr>
        <w:t>RP-213596 New WID on IoT NTN enhancements,</w:t>
      </w:r>
      <w:r>
        <w:rPr>
          <w:rFonts w:ascii="Times New Roman" w:hAnsi="Times New Roman"/>
          <w:sz w:val="20"/>
          <w:szCs w:val="20"/>
        </w:rPr>
        <w:t xml:space="preserve"> RAN#</w:t>
      </w:r>
      <w:r>
        <w:rPr>
          <w:rFonts w:ascii="Times New Roman" w:hAnsi="Times New Roman" w:hint="eastAsia"/>
          <w:sz w:val="20"/>
          <w:szCs w:val="20"/>
        </w:rPr>
        <w:t>94e</w:t>
      </w:r>
      <w:bookmarkEnd w:id="4"/>
    </w:p>
    <w:p w14:paraId="25779D3A" w14:textId="77777777" w:rsidR="00D565CE" w:rsidRDefault="00D565CE">
      <w:pPr>
        <w:pStyle w:val="ListParagraph1"/>
        <w:numPr>
          <w:ilvl w:val="0"/>
          <w:numId w:val="8"/>
        </w:numPr>
        <w:spacing w:after="0" w:line="240" w:lineRule="auto"/>
        <w:ind w:left="505" w:hanging="505"/>
        <w:rPr>
          <w:rFonts w:ascii="Times New Roman" w:hAnsi="Times New Roman"/>
          <w:sz w:val="20"/>
          <w:szCs w:val="20"/>
        </w:rPr>
      </w:pPr>
      <w:bookmarkStart w:id="5" w:name="_Ref118468455"/>
      <w:bookmarkStart w:id="6" w:name="_Ref1095"/>
      <w:r w:rsidRPr="00E579D2">
        <w:rPr>
          <w:rFonts w:ascii="Times New Roman" w:hAnsi="Times New Roman"/>
          <w:sz w:val="20"/>
          <w:szCs w:val="20"/>
        </w:rPr>
        <w:t>R1-2210694</w:t>
      </w:r>
      <w:r>
        <w:rPr>
          <w:rFonts w:ascii="Times New Roman" w:hAnsi="Times New Roman"/>
          <w:sz w:val="20"/>
          <w:szCs w:val="20"/>
        </w:rPr>
        <w:t xml:space="preserve"> </w:t>
      </w:r>
      <w:r w:rsidRPr="00E579D2">
        <w:rPr>
          <w:rFonts w:ascii="Times New Roman" w:hAnsi="Times New Roman"/>
          <w:sz w:val="20"/>
          <w:szCs w:val="20"/>
        </w:rPr>
        <w:t>Session notes for 9.11 (NTN (Non-Terrestrial Networks) enhancements)</w:t>
      </w:r>
      <w:r>
        <w:rPr>
          <w:rFonts w:ascii="Times New Roman" w:hAnsi="Times New Roman"/>
          <w:sz w:val="20"/>
          <w:szCs w:val="20"/>
        </w:rPr>
        <w:t>, RAN1#110be</w:t>
      </w:r>
      <w:bookmarkEnd w:id="5"/>
      <w:r>
        <w:rPr>
          <w:rFonts w:ascii="Times New Roman" w:hAnsi="Times New Roman" w:hint="eastAsia"/>
          <w:sz w:val="20"/>
          <w:szCs w:val="20"/>
        </w:rPr>
        <w:t xml:space="preserve"> </w:t>
      </w:r>
    </w:p>
    <w:p w14:paraId="3E5D9EC9" w14:textId="59612A7A" w:rsidR="00A40A8E" w:rsidRPr="00D565CE" w:rsidRDefault="00AA6325" w:rsidP="00D565CE">
      <w:pPr>
        <w:pStyle w:val="ListParagraph1"/>
        <w:numPr>
          <w:ilvl w:val="0"/>
          <w:numId w:val="8"/>
        </w:numPr>
        <w:spacing w:after="0" w:line="240" w:lineRule="auto"/>
        <w:ind w:left="505" w:hanging="505"/>
        <w:rPr>
          <w:rFonts w:ascii="Times New Roman" w:hAnsi="Times New Roman"/>
          <w:sz w:val="20"/>
          <w:szCs w:val="20"/>
        </w:rPr>
      </w:pPr>
      <w:bookmarkStart w:id="7" w:name="_Ref118468446"/>
      <w:r>
        <w:rPr>
          <w:rFonts w:ascii="Times New Roman" w:hAnsi="Times New Roman" w:hint="eastAsia"/>
          <w:sz w:val="20"/>
          <w:szCs w:val="20"/>
        </w:rPr>
        <w:t>R1-2112890 3GPP TSG-RAN WG1 Agreements under 8.4 up to eMeeting RAN1#107-e,</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107e</w:t>
      </w:r>
      <w:bookmarkEnd w:id="6"/>
      <w:bookmarkEnd w:id="7"/>
    </w:p>
    <w:p w14:paraId="28A166A7" w14:textId="77777777" w:rsidR="00A40A8E" w:rsidRDefault="00A40A8E">
      <w:pPr>
        <w:pStyle w:val="ListParagraph1"/>
        <w:numPr>
          <w:ilvl w:val="255"/>
          <w:numId w:val="0"/>
        </w:numPr>
        <w:spacing w:after="0" w:line="20" w:lineRule="exact"/>
        <w:ind w:left="720"/>
        <w:rPr>
          <w:rFonts w:ascii="Times New Roman" w:hAnsi="Times New Roman"/>
          <w:sz w:val="20"/>
          <w:szCs w:val="20"/>
        </w:rPr>
      </w:pPr>
    </w:p>
    <w:sectPr w:rsidR="00A40A8E">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226533" w16cid:durableId="270FA00B"/>
  <w16cid:commentId w16cid:paraId="0D6BA779" w16cid:durableId="270FAC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9701F" w14:textId="77777777" w:rsidR="00BA3D28" w:rsidRDefault="00BA3D28">
      <w:pPr>
        <w:spacing w:line="240" w:lineRule="auto"/>
      </w:pPr>
      <w:r>
        <w:separator/>
      </w:r>
    </w:p>
  </w:endnote>
  <w:endnote w:type="continuationSeparator" w:id="0">
    <w:p w14:paraId="425E7319" w14:textId="77777777" w:rsidR="00BA3D28" w:rsidRDefault="00BA3D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CED56" w14:textId="77777777" w:rsidR="00BA3D28" w:rsidRDefault="00BA3D28">
      <w:pPr>
        <w:spacing w:after="0"/>
      </w:pPr>
      <w:r>
        <w:separator/>
      </w:r>
    </w:p>
  </w:footnote>
  <w:footnote w:type="continuationSeparator" w:id="0">
    <w:p w14:paraId="23627F94" w14:textId="77777777" w:rsidR="00BA3D28" w:rsidRDefault="00BA3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DBEC91"/>
    <w:multiLevelType w:val="multilevel"/>
    <w:tmpl w:val="AADBEC9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27D87D3"/>
    <w:multiLevelType w:val="singleLevel"/>
    <w:tmpl w:val="F27D87D3"/>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869E093"/>
    <w:multiLevelType w:val="singleLevel"/>
    <w:tmpl w:val="F869E093"/>
    <w:lvl w:ilvl="0">
      <w:start w:val="1"/>
      <w:numFmt w:val="bullet"/>
      <w:lvlText w:val="−"/>
      <w:lvlJc w:val="left"/>
      <w:pPr>
        <w:ind w:left="420" w:hanging="420"/>
      </w:pPr>
      <w:rPr>
        <w:rFonts w:ascii="Arial" w:hAnsi="Arial" w:cs="Arial" w:hint="default"/>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71C2"/>
    <w:rsid w:val="000207B3"/>
    <w:rsid w:val="00021434"/>
    <w:rsid w:val="00021AAE"/>
    <w:rsid w:val="00022E51"/>
    <w:rsid w:val="00022EDE"/>
    <w:rsid w:val="0002404A"/>
    <w:rsid w:val="00024905"/>
    <w:rsid w:val="000255C7"/>
    <w:rsid w:val="00026E46"/>
    <w:rsid w:val="000305EC"/>
    <w:rsid w:val="00031996"/>
    <w:rsid w:val="00031F57"/>
    <w:rsid w:val="00033FA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2358"/>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871"/>
    <w:rsid w:val="00167C34"/>
    <w:rsid w:val="001703CB"/>
    <w:rsid w:val="00170CD6"/>
    <w:rsid w:val="0017178D"/>
    <w:rsid w:val="00172A27"/>
    <w:rsid w:val="00173343"/>
    <w:rsid w:val="00173624"/>
    <w:rsid w:val="00174EE5"/>
    <w:rsid w:val="00176371"/>
    <w:rsid w:val="00176496"/>
    <w:rsid w:val="001767AB"/>
    <w:rsid w:val="00176870"/>
    <w:rsid w:val="00176CE4"/>
    <w:rsid w:val="00177052"/>
    <w:rsid w:val="0018253F"/>
    <w:rsid w:val="00183086"/>
    <w:rsid w:val="0018409B"/>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4AE"/>
    <w:rsid w:val="001C4B12"/>
    <w:rsid w:val="001C53EA"/>
    <w:rsid w:val="001C7A72"/>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3B34"/>
    <w:rsid w:val="00205322"/>
    <w:rsid w:val="00206259"/>
    <w:rsid w:val="00211192"/>
    <w:rsid w:val="00213BC3"/>
    <w:rsid w:val="002150C0"/>
    <w:rsid w:val="00215B4B"/>
    <w:rsid w:val="00215C0C"/>
    <w:rsid w:val="00217CD0"/>
    <w:rsid w:val="00220720"/>
    <w:rsid w:val="00220F13"/>
    <w:rsid w:val="00222B41"/>
    <w:rsid w:val="002239D1"/>
    <w:rsid w:val="002239E2"/>
    <w:rsid w:val="002260BF"/>
    <w:rsid w:val="002277AA"/>
    <w:rsid w:val="0022789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2E7B"/>
    <w:rsid w:val="002A3174"/>
    <w:rsid w:val="002A40A7"/>
    <w:rsid w:val="002A431F"/>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7437"/>
    <w:rsid w:val="002D0710"/>
    <w:rsid w:val="002D109F"/>
    <w:rsid w:val="002D1FE0"/>
    <w:rsid w:val="002D35C9"/>
    <w:rsid w:val="002D3617"/>
    <w:rsid w:val="002D3E6A"/>
    <w:rsid w:val="002D4D12"/>
    <w:rsid w:val="002D4F8A"/>
    <w:rsid w:val="002D6C7D"/>
    <w:rsid w:val="002D74A4"/>
    <w:rsid w:val="002E0B56"/>
    <w:rsid w:val="002E0C9D"/>
    <w:rsid w:val="002E2D9B"/>
    <w:rsid w:val="002E3656"/>
    <w:rsid w:val="002E5475"/>
    <w:rsid w:val="002E5A0C"/>
    <w:rsid w:val="002E5F90"/>
    <w:rsid w:val="002E637E"/>
    <w:rsid w:val="002E6858"/>
    <w:rsid w:val="002E7D93"/>
    <w:rsid w:val="002E7F8A"/>
    <w:rsid w:val="002E7F97"/>
    <w:rsid w:val="002F0209"/>
    <w:rsid w:val="002F16C4"/>
    <w:rsid w:val="002F2A52"/>
    <w:rsid w:val="002F36E5"/>
    <w:rsid w:val="002F37E8"/>
    <w:rsid w:val="002F4A23"/>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D77D6"/>
    <w:rsid w:val="003E10DC"/>
    <w:rsid w:val="003E21E9"/>
    <w:rsid w:val="003E239D"/>
    <w:rsid w:val="003E4FCA"/>
    <w:rsid w:val="003E4FD3"/>
    <w:rsid w:val="003E7670"/>
    <w:rsid w:val="003F097C"/>
    <w:rsid w:val="003F16AA"/>
    <w:rsid w:val="003F2293"/>
    <w:rsid w:val="003F342B"/>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211"/>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87CAC"/>
    <w:rsid w:val="00587DA4"/>
    <w:rsid w:val="00591874"/>
    <w:rsid w:val="00591995"/>
    <w:rsid w:val="00591A9A"/>
    <w:rsid w:val="00591AFC"/>
    <w:rsid w:val="00593A13"/>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4101"/>
    <w:rsid w:val="005B4921"/>
    <w:rsid w:val="005B4E40"/>
    <w:rsid w:val="005B55FD"/>
    <w:rsid w:val="005B563C"/>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1B9"/>
    <w:rsid w:val="006B2088"/>
    <w:rsid w:val="006B2BFD"/>
    <w:rsid w:val="006B2F59"/>
    <w:rsid w:val="006B3756"/>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2A0"/>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A2D"/>
    <w:rsid w:val="00777FE7"/>
    <w:rsid w:val="007824B2"/>
    <w:rsid w:val="0078257B"/>
    <w:rsid w:val="00782A64"/>
    <w:rsid w:val="0078436A"/>
    <w:rsid w:val="0078446D"/>
    <w:rsid w:val="0078687B"/>
    <w:rsid w:val="00786908"/>
    <w:rsid w:val="0078717C"/>
    <w:rsid w:val="0078758C"/>
    <w:rsid w:val="007907A9"/>
    <w:rsid w:val="00790841"/>
    <w:rsid w:val="007918C5"/>
    <w:rsid w:val="00792482"/>
    <w:rsid w:val="007934C2"/>
    <w:rsid w:val="00794C8F"/>
    <w:rsid w:val="00795067"/>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A7FFA"/>
    <w:rsid w:val="008B0592"/>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4A4E"/>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0C1E"/>
    <w:rsid w:val="00931B4D"/>
    <w:rsid w:val="00933578"/>
    <w:rsid w:val="00933AAB"/>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420B"/>
    <w:rsid w:val="00B34BB6"/>
    <w:rsid w:val="00B367C9"/>
    <w:rsid w:val="00B36BF1"/>
    <w:rsid w:val="00B36CCF"/>
    <w:rsid w:val="00B408D6"/>
    <w:rsid w:val="00B40FC9"/>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3C68"/>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3D2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013B"/>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34B07"/>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914F4"/>
    <w:rsid w:val="00CA0D4F"/>
    <w:rsid w:val="00CA1224"/>
    <w:rsid w:val="00CA1397"/>
    <w:rsid w:val="00CA519E"/>
    <w:rsid w:val="00CA7DE4"/>
    <w:rsid w:val="00CB165F"/>
    <w:rsid w:val="00CB18A2"/>
    <w:rsid w:val="00CB2FE4"/>
    <w:rsid w:val="00CB3621"/>
    <w:rsid w:val="00CB4A68"/>
    <w:rsid w:val="00CB67DC"/>
    <w:rsid w:val="00CC0C01"/>
    <w:rsid w:val="00CC1380"/>
    <w:rsid w:val="00CC4052"/>
    <w:rsid w:val="00CC47FF"/>
    <w:rsid w:val="00CC4B2C"/>
    <w:rsid w:val="00CC7D91"/>
    <w:rsid w:val="00CD0028"/>
    <w:rsid w:val="00CD08DD"/>
    <w:rsid w:val="00CD1A96"/>
    <w:rsid w:val="00CD2824"/>
    <w:rsid w:val="00CD2BB2"/>
    <w:rsid w:val="00CD338F"/>
    <w:rsid w:val="00CD6203"/>
    <w:rsid w:val="00CD7641"/>
    <w:rsid w:val="00CE05DB"/>
    <w:rsid w:val="00CE0777"/>
    <w:rsid w:val="00CE1474"/>
    <w:rsid w:val="00CE2393"/>
    <w:rsid w:val="00CE260C"/>
    <w:rsid w:val="00CE26D7"/>
    <w:rsid w:val="00CE2E2F"/>
    <w:rsid w:val="00CE36F1"/>
    <w:rsid w:val="00CE380B"/>
    <w:rsid w:val="00CE3FF2"/>
    <w:rsid w:val="00CE5260"/>
    <w:rsid w:val="00CE56AB"/>
    <w:rsid w:val="00CE6395"/>
    <w:rsid w:val="00CE6BE3"/>
    <w:rsid w:val="00CE7641"/>
    <w:rsid w:val="00CE77D7"/>
    <w:rsid w:val="00CF0D62"/>
    <w:rsid w:val="00CF0FFD"/>
    <w:rsid w:val="00CF4162"/>
    <w:rsid w:val="00CF4528"/>
    <w:rsid w:val="00CF59D2"/>
    <w:rsid w:val="00CF74B8"/>
    <w:rsid w:val="00D01374"/>
    <w:rsid w:val="00D02E0E"/>
    <w:rsid w:val="00D02E57"/>
    <w:rsid w:val="00D03028"/>
    <w:rsid w:val="00D030AA"/>
    <w:rsid w:val="00D05292"/>
    <w:rsid w:val="00D05363"/>
    <w:rsid w:val="00D05C99"/>
    <w:rsid w:val="00D07E6C"/>
    <w:rsid w:val="00D125AC"/>
    <w:rsid w:val="00D12F91"/>
    <w:rsid w:val="00D13E2D"/>
    <w:rsid w:val="00D14AAA"/>
    <w:rsid w:val="00D155DC"/>
    <w:rsid w:val="00D15C7E"/>
    <w:rsid w:val="00D17DBC"/>
    <w:rsid w:val="00D20013"/>
    <w:rsid w:val="00D20D5C"/>
    <w:rsid w:val="00D21EDC"/>
    <w:rsid w:val="00D23502"/>
    <w:rsid w:val="00D237D5"/>
    <w:rsid w:val="00D242BD"/>
    <w:rsid w:val="00D2545E"/>
    <w:rsid w:val="00D256F9"/>
    <w:rsid w:val="00D263F3"/>
    <w:rsid w:val="00D26A93"/>
    <w:rsid w:val="00D2714E"/>
    <w:rsid w:val="00D3008B"/>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78E"/>
    <w:rsid w:val="00D823BA"/>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6DBC"/>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40C89"/>
    <w:rsid w:val="00E44314"/>
    <w:rsid w:val="00E4561D"/>
    <w:rsid w:val="00E46F0A"/>
    <w:rsid w:val="00E5094F"/>
    <w:rsid w:val="00E52A27"/>
    <w:rsid w:val="00E52A65"/>
    <w:rsid w:val="00E52A78"/>
    <w:rsid w:val="00E54BAE"/>
    <w:rsid w:val="00E5576F"/>
    <w:rsid w:val="00E56B3D"/>
    <w:rsid w:val="00E56DA0"/>
    <w:rsid w:val="00E579D2"/>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38CA"/>
    <w:rsid w:val="00E85A70"/>
    <w:rsid w:val="00E86903"/>
    <w:rsid w:val="00E872FE"/>
    <w:rsid w:val="00E90217"/>
    <w:rsid w:val="00E907F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4C17"/>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0D8D"/>
    <w:rsid w:val="00F12AD1"/>
    <w:rsid w:val="00F12B9C"/>
    <w:rsid w:val="00F12F07"/>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6FF"/>
    <w:rsid w:val="00F74B61"/>
    <w:rsid w:val="00F75B11"/>
    <w:rsid w:val="00F75C6B"/>
    <w:rsid w:val="00F76701"/>
    <w:rsid w:val="00F77659"/>
    <w:rsid w:val="00F80854"/>
    <w:rsid w:val="00F8176E"/>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0F49"/>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470692"/>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65076B"/>
    <w:rsid w:val="07975E0D"/>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D5F7E"/>
    <w:rsid w:val="0A840181"/>
    <w:rsid w:val="0AA76BBF"/>
    <w:rsid w:val="0ABA3196"/>
    <w:rsid w:val="0ABD67A5"/>
    <w:rsid w:val="0AC74C67"/>
    <w:rsid w:val="0AEC4C33"/>
    <w:rsid w:val="0AF81F7D"/>
    <w:rsid w:val="0AF9651E"/>
    <w:rsid w:val="0B035D76"/>
    <w:rsid w:val="0B0D72DF"/>
    <w:rsid w:val="0B532916"/>
    <w:rsid w:val="0B7B0C0B"/>
    <w:rsid w:val="0BA71F9F"/>
    <w:rsid w:val="0BC24B89"/>
    <w:rsid w:val="0BD3693F"/>
    <w:rsid w:val="0BF608EB"/>
    <w:rsid w:val="0C100BB4"/>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100573B4"/>
    <w:rsid w:val="10BE71C3"/>
    <w:rsid w:val="10F61CD8"/>
    <w:rsid w:val="10FB4A31"/>
    <w:rsid w:val="11331EFF"/>
    <w:rsid w:val="11337EFB"/>
    <w:rsid w:val="115713ED"/>
    <w:rsid w:val="11600A16"/>
    <w:rsid w:val="11707147"/>
    <w:rsid w:val="11761878"/>
    <w:rsid w:val="118A635C"/>
    <w:rsid w:val="11D34FC9"/>
    <w:rsid w:val="11F5274F"/>
    <w:rsid w:val="124203BC"/>
    <w:rsid w:val="12456039"/>
    <w:rsid w:val="12606FE4"/>
    <w:rsid w:val="126C5962"/>
    <w:rsid w:val="1297438E"/>
    <w:rsid w:val="12D3487B"/>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B34E87"/>
    <w:rsid w:val="19FE3D52"/>
    <w:rsid w:val="1A182E22"/>
    <w:rsid w:val="1A2338EA"/>
    <w:rsid w:val="1A680331"/>
    <w:rsid w:val="1A7C2890"/>
    <w:rsid w:val="1AA846CB"/>
    <w:rsid w:val="1AA8733D"/>
    <w:rsid w:val="1B0051DB"/>
    <w:rsid w:val="1B1D327A"/>
    <w:rsid w:val="1B324FB0"/>
    <w:rsid w:val="1B364A0E"/>
    <w:rsid w:val="1B5653C7"/>
    <w:rsid w:val="1B807109"/>
    <w:rsid w:val="1B966D58"/>
    <w:rsid w:val="1B975ED5"/>
    <w:rsid w:val="1BAF2B27"/>
    <w:rsid w:val="1C0A6142"/>
    <w:rsid w:val="1C594598"/>
    <w:rsid w:val="1C6D2148"/>
    <w:rsid w:val="1C7976A4"/>
    <w:rsid w:val="1C8735BD"/>
    <w:rsid w:val="1C8A1334"/>
    <w:rsid w:val="1CCC588C"/>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AF4890"/>
    <w:rsid w:val="26C679EB"/>
    <w:rsid w:val="26EB3598"/>
    <w:rsid w:val="271B442E"/>
    <w:rsid w:val="27240F9C"/>
    <w:rsid w:val="272B664F"/>
    <w:rsid w:val="272D09AF"/>
    <w:rsid w:val="273B1152"/>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897AD5"/>
    <w:rsid w:val="2CBD4227"/>
    <w:rsid w:val="2CFC2C0B"/>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0F7935"/>
    <w:rsid w:val="3C2A6487"/>
    <w:rsid w:val="3C5735CB"/>
    <w:rsid w:val="3C8A3F43"/>
    <w:rsid w:val="3C9733E7"/>
    <w:rsid w:val="3CFE08DB"/>
    <w:rsid w:val="3D6056F8"/>
    <w:rsid w:val="3D673F80"/>
    <w:rsid w:val="3D690B94"/>
    <w:rsid w:val="3D7A7192"/>
    <w:rsid w:val="3DB138D5"/>
    <w:rsid w:val="3DB40E70"/>
    <w:rsid w:val="3E2E0A25"/>
    <w:rsid w:val="3E3B24BF"/>
    <w:rsid w:val="3E64265A"/>
    <w:rsid w:val="3E6C3FAF"/>
    <w:rsid w:val="3E8E0FDF"/>
    <w:rsid w:val="3E93172F"/>
    <w:rsid w:val="3EA51E2C"/>
    <w:rsid w:val="3EAC040D"/>
    <w:rsid w:val="3EE50717"/>
    <w:rsid w:val="3EF34B07"/>
    <w:rsid w:val="3F1617B9"/>
    <w:rsid w:val="3F72094D"/>
    <w:rsid w:val="3F897CE4"/>
    <w:rsid w:val="3FAD777A"/>
    <w:rsid w:val="3FC52740"/>
    <w:rsid w:val="3FD1085F"/>
    <w:rsid w:val="3FDA4409"/>
    <w:rsid w:val="3FF13A3F"/>
    <w:rsid w:val="40117EB2"/>
    <w:rsid w:val="401A03CE"/>
    <w:rsid w:val="406075D2"/>
    <w:rsid w:val="406D1780"/>
    <w:rsid w:val="409A1B98"/>
    <w:rsid w:val="40CD6B92"/>
    <w:rsid w:val="411B4824"/>
    <w:rsid w:val="413D5C6F"/>
    <w:rsid w:val="413D73C6"/>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4314FE"/>
    <w:rsid w:val="435201BE"/>
    <w:rsid w:val="435A4029"/>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1675EE"/>
    <w:rsid w:val="4B230331"/>
    <w:rsid w:val="4B4107D0"/>
    <w:rsid w:val="4B805A5F"/>
    <w:rsid w:val="4B88470B"/>
    <w:rsid w:val="4BBB565D"/>
    <w:rsid w:val="4BC12236"/>
    <w:rsid w:val="4BC3031A"/>
    <w:rsid w:val="4BE95CE7"/>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30763D"/>
    <w:rsid w:val="6531024B"/>
    <w:rsid w:val="65506B03"/>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E7CBA"/>
    <w:rsid w:val="78C10517"/>
    <w:rsid w:val="78C71CD3"/>
    <w:rsid w:val="78DD3131"/>
    <w:rsid w:val="78E4026D"/>
    <w:rsid w:val="79427878"/>
    <w:rsid w:val="79430348"/>
    <w:rsid w:val="796563A2"/>
    <w:rsid w:val="79701A39"/>
    <w:rsid w:val="799975C1"/>
    <w:rsid w:val="79B810F6"/>
    <w:rsid w:val="7A082988"/>
    <w:rsid w:val="7A1C10FB"/>
    <w:rsid w:val="7A286937"/>
    <w:rsid w:val="7A33250D"/>
    <w:rsid w:val="7A424D7F"/>
    <w:rsid w:val="7A4D4FC3"/>
    <w:rsid w:val="7A8A4F36"/>
    <w:rsid w:val="7AB87EDD"/>
    <w:rsid w:val="7ABA7BB0"/>
    <w:rsid w:val="7ABB0624"/>
    <w:rsid w:val="7ABE78CA"/>
    <w:rsid w:val="7AC84DC1"/>
    <w:rsid w:val="7AE64B83"/>
    <w:rsid w:val="7AF42850"/>
    <w:rsid w:val="7B002162"/>
    <w:rsid w:val="7B124FB7"/>
    <w:rsid w:val="7B361A8A"/>
    <w:rsid w:val="7B4D52D4"/>
    <w:rsid w:val="7B83108A"/>
    <w:rsid w:val="7BAE5A06"/>
    <w:rsid w:val="7BDF1C40"/>
    <w:rsid w:val="7BFE2799"/>
    <w:rsid w:val="7CAB63B7"/>
    <w:rsid w:val="7CB818B8"/>
    <w:rsid w:val="7CD50713"/>
    <w:rsid w:val="7D8C5E76"/>
    <w:rsid w:val="7DA0352B"/>
    <w:rsid w:val="7DB019FA"/>
    <w:rsid w:val="7DCC7103"/>
    <w:rsid w:val="7DD2454F"/>
    <w:rsid w:val="7DDB2B1D"/>
    <w:rsid w:val="7DEC28EC"/>
    <w:rsid w:val="7E44423B"/>
    <w:rsid w:val="7E8D32EE"/>
    <w:rsid w:val="7E8E0310"/>
    <w:rsid w:val="7E910721"/>
    <w:rsid w:val="7EA157B5"/>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F94AF"/>
  <w15:docId w15:val="{718CF3D7-1226-4160-8571-0A78A0741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basedOn w:val="a0"/>
    <w:qFormat/>
    <w:rPr>
      <w:i/>
    </w:rPr>
  </w:style>
  <w:style w:type="character" w:styleId="af">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0">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link w:val="B1Char1"/>
    <w:qFormat/>
  </w:style>
  <w:style w:type="paragraph" w:customStyle="1" w:styleId="3">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sid w:val="00E4561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5BDDEB-4A62-4906-B5DE-40C1661B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1716</Words>
  <Characters>9782</Characters>
  <Application>Microsoft Office Word</Application>
  <DocSecurity>0</DocSecurity>
  <Lines>81</Lines>
  <Paragraphs>22</Paragraphs>
  <ScaleCrop>false</ScaleCrop>
  <Company/>
  <LinksUpToDate>false</LinksUpToDate>
  <CharactersWithSpaces>11476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11</cp:revision>
  <dcterms:created xsi:type="dcterms:W3CDTF">2022-11-02T15:39:00Z</dcterms:created>
  <dcterms:modified xsi:type="dcterms:W3CDTF">2022-11-06T09:32:00Z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